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C449C" w14:textId="77777777" w:rsidR="00CB1DBC" w:rsidRDefault="00CB1DBC">
      <w:pPr>
        <w:widowControl w:val="0"/>
        <w:pBdr>
          <w:top w:val="nil"/>
          <w:left w:val="nil"/>
          <w:bottom w:val="nil"/>
          <w:right w:val="nil"/>
          <w:between w:val="nil"/>
        </w:pBdr>
        <w:spacing w:after="0" w:line="276" w:lineRule="auto"/>
        <w:rPr>
          <w:rFonts w:ascii="Arial" w:eastAsia="Arial" w:hAnsi="Arial" w:cs="Arial"/>
          <w:color w:val="000000"/>
        </w:rPr>
      </w:pPr>
    </w:p>
    <w:p w14:paraId="30CA06C5" w14:textId="77777777" w:rsidR="00DC19D8" w:rsidRDefault="00DC19D8">
      <w:pPr>
        <w:jc w:val="center"/>
        <w:rPr>
          <w:rFonts w:ascii="Century Gothic" w:eastAsia="Century Gothic" w:hAnsi="Century Gothic" w:cs="Century Gothic"/>
          <w:color w:val="000000"/>
          <w:sz w:val="36"/>
          <w:szCs w:val="36"/>
        </w:rPr>
      </w:pPr>
      <w:r>
        <w:rPr>
          <w:rFonts w:ascii="Century Gothic" w:eastAsia="Century Gothic" w:hAnsi="Century Gothic" w:cs="Century Gothic"/>
          <w:color w:val="000000"/>
          <w:sz w:val="36"/>
          <w:szCs w:val="36"/>
        </w:rPr>
        <w:t>Selecting Strategies to Create Change</w:t>
      </w:r>
      <w:r>
        <w:rPr>
          <w:rFonts w:ascii="Century Gothic" w:eastAsia="Century Gothic" w:hAnsi="Century Gothic" w:cs="Century Gothic"/>
          <w:color w:val="000000"/>
          <w:sz w:val="36"/>
          <w:szCs w:val="36"/>
          <w:vertAlign w:val="superscript"/>
        </w:rPr>
        <w:footnoteReference w:id="1"/>
      </w:r>
    </w:p>
    <w:p w14:paraId="74C32149" w14:textId="77777777" w:rsidR="00CB1DBC" w:rsidRDefault="00CB1DBC">
      <w:pPr>
        <w:ind w:left="-630"/>
      </w:pPr>
    </w:p>
    <w:p w14:paraId="7CE0E6FA" w14:textId="77777777" w:rsidR="00CB1DBC" w:rsidRDefault="008C3989">
      <w:pPr>
        <w:pStyle w:val="Heading1"/>
        <w:rPr>
          <w:color w:val="0D2C3E"/>
        </w:rPr>
      </w:pPr>
      <w:r>
        <w:rPr>
          <w:color w:val="0D2C3E"/>
        </w:rPr>
        <w:t>What is a strategy?</w:t>
      </w:r>
    </w:p>
    <w:p w14:paraId="5B09EF98" w14:textId="39916807" w:rsidR="00CB1DBC" w:rsidRDefault="008C3989">
      <w:pPr>
        <w:rPr>
          <w:sz w:val="24"/>
          <w:szCs w:val="24"/>
        </w:rPr>
      </w:pPr>
      <w:r>
        <w:rPr>
          <w:sz w:val="24"/>
          <w:szCs w:val="24"/>
        </w:rPr>
        <w:t xml:space="preserve">A strategy </w:t>
      </w:r>
      <w:r w:rsidR="00EB0D06">
        <w:rPr>
          <w:sz w:val="24"/>
          <w:szCs w:val="24"/>
        </w:rPr>
        <w:t xml:space="preserve">describes </w:t>
      </w:r>
      <w:r>
        <w:rPr>
          <w:sz w:val="24"/>
          <w:szCs w:val="24"/>
        </w:rPr>
        <w:t xml:space="preserve">how you are going to get things done. </w:t>
      </w:r>
      <w:r w:rsidR="002330F1">
        <w:rPr>
          <w:sz w:val="24"/>
          <w:szCs w:val="24"/>
        </w:rPr>
        <w:t>I</w:t>
      </w:r>
      <w:r>
        <w:rPr>
          <w:sz w:val="24"/>
          <w:szCs w:val="24"/>
        </w:rPr>
        <w:t xml:space="preserve">t tries to broadly answer the question, "How do we get there from here?" (Do we want to take the train? Fly? Walk?) </w:t>
      </w:r>
    </w:p>
    <w:p w14:paraId="27396DEA" w14:textId="77777777" w:rsidR="00CB1DBC" w:rsidRDefault="00CB1DBC">
      <w:pPr>
        <w:rPr>
          <w:sz w:val="24"/>
          <w:szCs w:val="24"/>
        </w:rPr>
      </w:pPr>
    </w:p>
    <w:p w14:paraId="613A7FB9" w14:textId="117010D2" w:rsidR="00CB1DBC" w:rsidRDefault="0011201B">
      <w:pPr>
        <w:pStyle w:val="Heading1"/>
        <w:rPr>
          <w:color w:val="0D2C3E"/>
        </w:rPr>
      </w:pPr>
      <w:r>
        <w:rPr>
          <w:color w:val="0D2C3E"/>
        </w:rPr>
        <w:t xml:space="preserve">Part 1: </w:t>
      </w:r>
      <w:r w:rsidR="00197398">
        <w:rPr>
          <w:color w:val="0D2C3E"/>
        </w:rPr>
        <w:t xml:space="preserve">Types of </w:t>
      </w:r>
      <w:r>
        <w:rPr>
          <w:color w:val="0D2C3E"/>
        </w:rPr>
        <w:t>S</w:t>
      </w:r>
      <w:r w:rsidR="00197398">
        <w:rPr>
          <w:color w:val="0D2C3E"/>
        </w:rPr>
        <w:t>trategies</w:t>
      </w:r>
    </w:p>
    <w:p w14:paraId="1C42D49F" w14:textId="06C84B02" w:rsidR="00CB1DBC" w:rsidRDefault="00163648">
      <w:pPr>
        <w:rPr>
          <w:sz w:val="24"/>
          <w:szCs w:val="24"/>
        </w:rPr>
      </w:pPr>
      <w:r>
        <w:rPr>
          <w:sz w:val="24"/>
          <w:szCs w:val="24"/>
        </w:rPr>
        <w:t xml:space="preserve">Your coalition will likely use more than one strategy to impact your contributing factors and prioritized issues. Using as many different types as possible will create a more comprehensive strategic plan, increasing your chances of achieving community‐level change. The strategies overlap and reinforce each other. </w:t>
      </w:r>
    </w:p>
    <w:p w14:paraId="15C91BB0" w14:textId="6DA11D98" w:rsidR="00CB1DBC" w:rsidRDefault="008C3989">
      <w:pPr>
        <w:rPr>
          <w:sz w:val="24"/>
          <w:szCs w:val="24"/>
        </w:rPr>
      </w:pPr>
      <w:r w:rsidRPr="008C3989">
        <w:rPr>
          <w:color w:val="761E28" w:themeColor="accent2" w:themeShade="BF"/>
          <w:sz w:val="26"/>
          <w:szCs w:val="26"/>
        </w:rPr>
        <w:t>1. Providing Information/Communication.</w:t>
      </w:r>
      <w:r w:rsidRPr="008C3989">
        <w:rPr>
          <w:color w:val="761E28" w:themeColor="accent2" w:themeShade="BF"/>
          <w:sz w:val="28"/>
          <w:szCs w:val="28"/>
        </w:rPr>
        <w:t xml:space="preserve"> </w:t>
      </w:r>
      <w:r>
        <w:rPr>
          <w:sz w:val="24"/>
          <w:szCs w:val="24"/>
        </w:rPr>
        <w:t xml:space="preserve">Educational presentations, workshops or seminars or other presentations of information designed to increase knowledge </w:t>
      </w:r>
      <w:proofErr w:type="gramStart"/>
      <w:r>
        <w:rPr>
          <w:sz w:val="24"/>
          <w:szCs w:val="24"/>
        </w:rPr>
        <w:t>in order to</w:t>
      </w:r>
      <w:proofErr w:type="gramEnd"/>
      <w:r>
        <w:rPr>
          <w:sz w:val="24"/>
          <w:szCs w:val="24"/>
        </w:rPr>
        <w:t xml:space="preserve"> influence and empower individuals to make healthier choices (e.g., public announcements, social marketing and media campaigns, brochures, dissemination, billboards, community meetings, forums, web-based communication). </w:t>
      </w:r>
    </w:p>
    <w:p w14:paraId="5F37FC90" w14:textId="34D1A4BD" w:rsidR="00CB1DBC" w:rsidRDefault="008C3989">
      <w:pPr>
        <w:rPr>
          <w:sz w:val="24"/>
          <w:szCs w:val="24"/>
        </w:rPr>
      </w:pPr>
      <w:r w:rsidRPr="008C3989">
        <w:rPr>
          <w:color w:val="761E28" w:themeColor="accent2" w:themeShade="BF"/>
          <w:sz w:val="26"/>
          <w:szCs w:val="26"/>
        </w:rPr>
        <w:t>2. Enhancing Skills.</w:t>
      </w:r>
      <w:r w:rsidRPr="008C3989">
        <w:rPr>
          <w:color w:val="761E28" w:themeColor="accent2" w:themeShade="BF"/>
          <w:sz w:val="28"/>
          <w:szCs w:val="28"/>
        </w:rPr>
        <w:t xml:space="preserve"> </w:t>
      </w:r>
      <w:r>
        <w:rPr>
          <w:sz w:val="24"/>
          <w:szCs w:val="24"/>
        </w:rPr>
        <w:t xml:space="preserve">Workshops, </w:t>
      </w:r>
      <w:proofErr w:type="gramStart"/>
      <w:r>
        <w:rPr>
          <w:sz w:val="24"/>
          <w:szCs w:val="24"/>
        </w:rPr>
        <w:t>seminars</w:t>
      </w:r>
      <w:proofErr w:type="gramEnd"/>
      <w:r>
        <w:rPr>
          <w:sz w:val="24"/>
          <w:szCs w:val="24"/>
        </w:rPr>
        <w:t xml:space="preserve"> or other activities designed to increase </w:t>
      </w:r>
      <w:r>
        <w:rPr>
          <w:i/>
          <w:sz w:val="24"/>
          <w:szCs w:val="24"/>
        </w:rPr>
        <w:t>the skills</w:t>
      </w:r>
      <w:r>
        <w:rPr>
          <w:sz w:val="24"/>
          <w:szCs w:val="24"/>
        </w:rPr>
        <w:t xml:space="preserve"> of participants</w:t>
      </w:r>
      <w:r w:rsidR="008122E9">
        <w:rPr>
          <w:sz w:val="24"/>
          <w:szCs w:val="24"/>
        </w:rPr>
        <w:t xml:space="preserve">. </w:t>
      </w:r>
      <w:r>
        <w:rPr>
          <w:sz w:val="24"/>
          <w:szCs w:val="24"/>
        </w:rPr>
        <w:t xml:space="preserve">Strategies that enhance skills usually involve the </w:t>
      </w:r>
      <w:r w:rsidR="008122E9">
        <w:rPr>
          <w:sz w:val="24"/>
          <w:szCs w:val="24"/>
        </w:rPr>
        <w:t>focus</w:t>
      </w:r>
      <w:r>
        <w:rPr>
          <w:sz w:val="24"/>
          <w:szCs w:val="24"/>
        </w:rPr>
        <w:t xml:space="preserve"> population directly interacting with a facilitator as the facilitator delivers a standardized or set curriculum. The materials should be culturally appropriate and tailored to the audience</w:t>
      </w:r>
      <w:r w:rsidR="008122E9">
        <w:rPr>
          <w:sz w:val="24"/>
          <w:szCs w:val="24"/>
        </w:rPr>
        <w:t>. T</w:t>
      </w:r>
      <w:r>
        <w:rPr>
          <w:sz w:val="24"/>
          <w:szCs w:val="24"/>
        </w:rPr>
        <w:t>hese types of strategies usually require a trained facilitator.</w:t>
      </w:r>
    </w:p>
    <w:p w14:paraId="01E1010D" w14:textId="567BC9EC" w:rsidR="00CB1DBC" w:rsidRDefault="008C3989">
      <w:pPr>
        <w:rPr>
          <w:sz w:val="24"/>
          <w:szCs w:val="24"/>
        </w:rPr>
      </w:pPr>
      <w:r w:rsidRPr="008C3989">
        <w:rPr>
          <w:color w:val="761E28" w:themeColor="accent2" w:themeShade="BF"/>
          <w:sz w:val="26"/>
          <w:szCs w:val="26"/>
        </w:rPr>
        <w:t>3. Providing Support.</w:t>
      </w:r>
      <w:r w:rsidRPr="008C3989">
        <w:rPr>
          <w:color w:val="761E28" w:themeColor="accent2" w:themeShade="BF"/>
          <w:sz w:val="28"/>
          <w:szCs w:val="28"/>
        </w:rPr>
        <w:t xml:space="preserve"> </w:t>
      </w:r>
      <w:r w:rsidR="000230F0">
        <w:rPr>
          <w:sz w:val="24"/>
          <w:szCs w:val="24"/>
        </w:rPr>
        <w:t>S</w:t>
      </w:r>
      <w:r>
        <w:rPr>
          <w:sz w:val="24"/>
          <w:szCs w:val="24"/>
        </w:rPr>
        <w:t>upport</w:t>
      </w:r>
      <w:r w:rsidR="000230F0">
        <w:rPr>
          <w:sz w:val="24"/>
          <w:szCs w:val="24"/>
        </w:rPr>
        <w:t>ing</w:t>
      </w:r>
      <w:r>
        <w:rPr>
          <w:sz w:val="24"/>
          <w:szCs w:val="24"/>
        </w:rPr>
        <w:t xml:space="preserve"> people to participate in </w:t>
      </w:r>
      <w:r w:rsidR="000230F0">
        <w:rPr>
          <w:sz w:val="24"/>
          <w:szCs w:val="24"/>
        </w:rPr>
        <w:t xml:space="preserve">positive </w:t>
      </w:r>
      <w:r>
        <w:rPr>
          <w:sz w:val="24"/>
          <w:szCs w:val="24"/>
        </w:rPr>
        <w:t xml:space="preserve">activities </w:t>
      </w:r>
      <w:r w:rsidR="000230F0">
        <w:rPr>
          <w:sz w:val="24"/>
          <w:szCs w:val="24"/>
        </w:rPr>
        <w:t xml:space="preserve">that address problems. </w:t>
      </w:r>
      <w:r>
        <w:rPr>
          <w:sz w:val="24"/>
          <w:szCs w:val="24"/>
        </w:rPr>
        <w:t xml:space="preserve">For example, if a community </w:t>
      </w:r>
      <w:r w:rsidR="00FC293F">
        <w:rPr>
          <w:sz w:val="24"/>
          <w:szCs w:val="24"/>
        </w:rPr>
        <w:t>finds</w:t>
      </w:r>
      <w:r>
        <w:rPr>
          <w:sz w:val="24"/>
          <w:szCs w:val="24"/>
        </w:rPr>
        <w:t xml:space="preserve"> that many </w:t>
      </w:r>
      <w:proofErr w:type="gramStart"/>
      <w:r>
        <w:rPr>
          <w:sz w:val="24"/>
          <w:szCs w:val="24"/>
        </w:rPr>
        <w:t>youth</w:t>
      </w:r>
      <w:proofErr w:type="gramEnd"/>
      <w:r>
        <w:rPr>
          <w:sz w:val="24"/>
          <w:szCs w:val="24"/>
        </w:rPr>
        <w:t xml:space="preserve"> are cited for underage drinking during certain hours, </w:t>
      </w:r>
      <w:r w:rsidR="00FC293F">
        <w:rPr>
          <w:sz w:val="24"/>
          <w:szCs w:val="24"/>
        </w:rPr>
        <w:t xml:space="preserve">helping the youth take advantage of </w:t>
      </w:r>
      <w:r>
        <w:rPr>
          <w:sz w:val="24"/>
          <w:szCs w:val="24"/>
        </w:rPr>
        <w:t>substance-free activities during those times</w:t>
      </w:r>
      <w:r w:rsidR="00FC293F">
        <w:rPr>
          <w:sz w:val="24"/>
          <w:szCs w:val="24"/>
        </w:rPr>
        <w:t xml:space="preserve"> is considered providing support</w:t>
      </w:r>
      <w:r>
        <w:rPr>
          <w:sz w:val="24"/>
          <w:szCs w:val="24"/>
        </w:rPr>
        <w:t>.</w:t>
      </w:r>
    </w:p>
    <w:p w14:paraId="2FF1EFF1" w14:textId="08765114" w:rsidR="00CB1DBC" w:rsidRDefault="008C3989">
      <w:pPr>
        <w:rPr>
          <w:sz w:val="24"/>
          <w:szCs w:val="24"/>
        </w:rPr>
      </w:pPr>
      <w:r w:rsidRPr="008C3989">
        <w:rPr>
          <w:color w:val="761E28" w:themeColor="accent2" w:themeShade="BF"/>
          <w:sz w:val="26"/>
          <w:szCs w:val="26"/>
        </w:rPr>
        <w:t>4. Enhancing Access/Reducing Barriers.</w:t>
      </w:r>
      <w:r w:rsidRPr="008C3989">
        <w:rPr>
          <w:color w:val="761E28" w:themeColor="accent2" w:themeShade="BF"/>
          <w:sz w:val="28"/>
          <w:szCs w:val="28"/>
        </w:rPr>
        <w:t xml:space="preserve"> </w:t>
      </w:r>
      <w:r w:rsidR="00CD3EA8">
        <w:rPr>
          <w:sz w:val="24"/>
          <w:szCs w:val="24"/>
        </w:rPr>
        <w:t>Increasing</w:t>
      </w:r>
      <w:r>
        <w:rPr>
          <w:sz w:val="24"/>
          <w:szCs w:val="24"/>
        </w:rPr>
        <w:t xml:space="preserve"> the ease, ability</w:t>
      </w:r>
      <w:r w:rsidR="00CD3EA8">
        <w:rPr>
          <w:sz w:val="24"/>
          <w:szCs w:val="24"/>
        </w:rPr>
        <w:t>,</w:t>
      </w:r>
      <w:r>
        <w:rPr>
          <w:sz w:val="24"/>
          <w:szCs w:val="24"/>
        </w:rPr>
        <w:t xml:space="preserve"> and opportunity to </w:t>
      </w:r>
      <w:r w:rsidR="00CD3EA8">
        <w:rPr>
          <w:sz w:val="24"/>
          <w:szCs w:val="24"/>
        </w:rPr>
        <w:t xml:space="preserve">use </w:t>
      </w:r>
      <w:r w:rsidR="00F616CF">
        <w:rPr>
          <w:sz w:val="24"/>
          <w:szCs w:val="24"/>
        </w:rPr>
        <w:t>beneficial</w:t>
      </w:r>
      <w:r>
        <w:rPr>
          <w:sz w:val="24"/>
          <w:szCs w:val="24"/>
        </w:rPr>
        <w:t xml:space="preserve"> services </w:t>
      </w:r>
      <w:r w:rsidR="00F616CF">
        <w:rPr>
          <w:sz w:val="24"/>
          <w:szCs w:val="24"/>
        </w:rPr>
        <w:t xml:space="preserve">such as </w:t>
      </w:r>
      <w:r>
        <w:rPr>
          <w:sz w:val="24"/>
          <w:szCs w:val="24"/>
        </w:rPr>
        <w:t>healthcare</w:t>
      </w:r>
      <w:r w:rsidR="00F616CF">
        <w:rPr>
          <w:sz w:val="24"/>
          <w:szCs w:val="24"/>
        </w:rPr>
        <w:t xml:space="preserve"> or</w:t>
      </w:r>
      <w:r>
        <w:rPr>
          <w:sz w:val="24"/>
          <w:szCs w:val="24"/>
        </w:rPr>
        <w:t xml:space="preserve"> childcare</w:t>
      </w:r>
      <w:r w:rsidR="00F616CF">
        <w:rPr>
          <w:sz w:val="24"/>
          <w:szCs w:val="24"/>
        </w:rPr>
        <w:t xml:space="preserve">. </w:t>
      </w:r>
      <w:r>
        <w:rPr>
          <w:sz w:val="24"/>
          <w:szCs w:val="24"/>
        </w:rPr>
        <w:t>For example,</w:t>
      </w:r>
      <w:r w:rsidR="000A6017">
        <w:rPr>
          <w:sz w:val="24"/>
          <w:szCs w:val="24"/>
        </w:rPr>
        <w:t xml:space="preserve"> offering </w:t>
      </w:r>
      <w:r w:rsidR="00E4654E">
        <w:rPr>
          <w:sz w:val="24"/>
          <w:szCs w:val="24"/>
        </w:rPr>
        <w:t>healthcare in many</w:t>
      </w:r>
      <w:r>
        <w:rPr>
          <w:sz w:val="24"/>
          <w:szCs w:val="24"/>
        </w:rPr>
        <w:t xml:space="preserve"> </w:t>
      </w:r>
      <w:r w:rsidR="00E4654E">
        <w:rPr>
          <w:sz w:val="24"/>
          <w:szCs w:val="24"/>
        </w:rPr>
        <w:t xml:space="preserve">languages increases access for those who do not speak English. </w:t>
      </w:r>
      <w:r>
        <w:rPr>
          <w:sz w:val="24"/>
          <w:szCs w:val="24"/>
        </w:rPr>
        <w:t xml:space="preserve">This can also be “flipped” to </w:t>
      </w:r>
      <w:r w:rsidRPr="008C3989">
        <w:rPr>
          <w:i/>
          <w:color w:val="761E28" w:themeColor="accent2" w:themeShade="BF"/>
          <w:sz w:val="24"/>
          <w:szCs w:val="24"/>
        </w:rPr>
        <w:t>reducing access/increasing barriers</w:t>
      </w:r>
      <w:r>
        <w:rPr>
          <w:sz w:val="24"/>
          <w:szCs w:val="24"/>
        </w:rPr>
        <w:t xml:space="preserve">. For example, </w:t>
      </w:r>
      <w:r w:rsidR="00E4654E">
        <w:rPr>
          <w:sz w:val="24"/>
          <w:szCs w:val="24"/>
        </w:rPr>
        <w:t>laws that bar youth from drinking</w:t>
      </w:r>
      <w:r w:rsidRPr="009600DC">
        <w:rPr>
          <w:sz w:val="24"/>
          <w:szCs w:val="24"/>
        </w:rPr>
        <w:t xml:space="preserve"> decrease</w:t>
      </w:r>
      <w:r w:rsidR="00C545F2">
        <w:rPr>
          <w:sz w:val="24"/>
          <w:szCs w:val="24"/>
        </w:rPr>
        <w:t xml:space="preserve"> their access to alcohol</w:t>
      </w:r>
      <w:r w:rsidRPr="009600DC">
        <w:rPr>
          <w:sz w:val="24"/>
          <w:szCs w:val="24"/>
        </w:rPr>
        <w:t xml:space="preserve">. </w:t>
      </w:r>
    </w:p>
    <w:p w14:paraId="6F8ECE70" w14:textId="29671F2C" w:rsidR="00CB1DBC" w:rsidRDefault="008C3989">
      <w:pPr>
        <w:rPr>
          <w:sz w:val="24"/>
          <w:szCs w:val="24"/>
        </w:rPr>
      </w:pPr>
      <w:r w:rsidRPr="008C3989">
        <w:rPr>
          <w:color w:val="761E28" w:themeColor="accent2" w:themeShade="BF"/>
          <w:sz w:val="26"/>
          <w:szCs w:val="26"/>
        </w:rPr>
        <w:lastRenderedPageBreak/>
        <w:t>5. Changing Consequences (Incentives/Disincentives).</w:t>
      </w:r>
      <w:r w:rsidRPr="008C3989">
        <w:rPr>
          <w:color w:val="761E28" w:themeColor="accent2" w:themeShade="BF"/>
          <w:sz w:val="28"/>
          <w:szCs w:val="28"/>
        </w:rPr>
        <w:t xml:space="preserve"> </w:t>
      </w:r>
      <w:r w:rsidR="002A2E6D">
        <w:rPr>
          <w:sz w:val="24"/>
          <w:szCs w:val="24"/>
        </w:rPr>
        <w:t>Changing</w:t>
      </w:r>
      <w:r>
        <w:rPr>
          <w:sz w:val="24"/>
          <w:szCs w:val="24"/>
        </w:rPr>
        <w:t xml:space="preserve"> the consequences for </w:t>
      </w:r>
      <w:r w:rsidR="002A2E6D">
        <w:rPr>
          <w:sz w:val="24"/>
          <w:szCs w:val="24"/>
        </w:rPr>
        <w:t xml:space="preserve">engaging in certain behaviors. </w:t>
      </w:r>
      <w:r w:rsidR="008657ED">
        <w:rPr>
          <w:sz w:val="24"/>
          <w:szCs w:val="24"/>
        </w:rPr>
        <w:t xml:space="preserve">For example, if a local business alerts law enforcement that youth under 21 years old are using fake IDs to buy alcohol, your coalition can recognize the business publicly. Or </w:t>
      </w:r>
      <w:r w:rsidR="00C2324D">
        <w:rPr>
          <w:sz w:val="24"/>
          <w:szCs w:val="24"/>
        </w:rPr>
        <w:t xml:space="preserve">if a student does well in school, </w:t>
      </w:r>
      <w:r w:rsidR="008657ED">
        <w:rPr>
          <w:sz w:val="24"/>
          <w:szCs w:val="24"/>
        </w:rPr>
        <w:t xml:space="preserve">the coalition can award them with gift </w:t>
      </w:r>
      <w:r w:rsidR="005412F8">
        <w:rPr>
          <w:sz w:val="24"/>
          <w:szCs w:val="24"/>
        </w:rPr>
        <w:t>certificates.</w:t>
      </w:r>
      <w:r w:rsidR="008657ED">
        <w:rPr>
          <w:sz w:val="24"/>
          <w:szCs w:val="24"/>
        </w:rPr>
        <w:t xml:space="preserve"> On the flip side, </w:t>
      </w:r>
      <w:r w:rsidR="005412F8">
        <w:rPr>
          <w:sz w:val="24"/>
          <w:szCs w:val="24"/>
        </w:rPr>
        <w:t xml:space="preserve">if a student is found vaping at school, the school can </w:t>
      </w:r>
      <w:r w:rsidR="008607F4">
        <w:rPr>
          <w:sz w:val="24"/>
          <w:szCs w:val="24"/>
        </w:rPr>
        <w:t>require attendance at a program to help them quit.</w:t>
      </w:r>
    </w:p>
    <w:p w14:paraId="54928005" w14:textId="74A15FDD" w:rsidR="00CB1DBC" w:rsidRDefault="008C3989">
      <w:pPr>
        <w:rPr>
          <w:sz w:val="24"/>
          <w:szCs w:val="24"/>
        </w:rPr>
      </w:pPr>
      <w:r w:rsidRPr="008C3989">
        <w:rPr>
          <w:color w:val="761E28" w:themeColor="accent2" w:themeShade="BF"/>
          <w:sz w:val="26"/>
          <w:szCs w:val="26"/>
        </w:rPr>
        <w:t>6. Changing Physical Design/Making Environmental Changes.</w:t>
      </w:r>
      <w:r w:rsidRPr="008C3989">
        <w:rPr>
          <w:color w:val="761E28" w:themeColor="accent2" w:themeShade="BF"/>
          <w:sz w:val="28"/>
          <w:szCs w:val="28"/>
        </w:rPr>
        <w:t xml:space="preserve"> </w:t>
      </w:r>
      <w:r>
        <w:rPr>
          <w:sz w:val="24"/>
          <w:szCs w:val="24"/>
        </w:rPr>
        <w:t xml:space="preserve">Changing the physical design of the environment to </w:t>
      </w:r>
      <w:r w:rsidR="001610FF">
        <w:rPr>
          <w:sz w:val="24"/>
          <w:szCs w:val="24"/>
        </w:rPr>
        <w:t xml:space="preserve">encourage positive behaviors and discourage negative behaviors. </w:t>
      </w:r>
      <w:r>
        <w:rPr>
          <w:sz w:val="24"/>
          <w:szCs w:val="24"/>
        </w:rPr>
        <w:t xml:space="preserve">For example, cutting back or eliminating foliage that provides cover for drug sales, increasing lighting at crime hot spots, and cleaning up abandoned properties that are used for drug use. </w:t>
      </w:r>
      <w:r w:rsidR="006E6B1B">
        <w:rPr>
          <w:sz w:val="24"/>
          <w:szCs w:val="24"/>
        </w:rPr>
        <w:t>S</w:t>
      </w:r>
      <w:r>
        <w:rPr>
          <w:sz w:val="24"/>
          <w:szCs w:val="24"/>
        </w:rPr>
        <w:t>trategies might</w:t>
      </w:r>
      <w:r w:rsidR="006E6B1B">
        <w:rPr>
          <w:sz w:val="24"/>
          <w:szCs w:val="24"/>
        </w:rPr>
        <w:t xml:space="preserve"> also</w:t>
      </w:r>
      <w:r>
        <w:rPr>
          <w:sz w:val="24"/>
          <w:szCs w:val="24"/>
        </w:rPr>
        <w:t xml:space="preserve"> focus on improving physical design to increase use, such as increasing accessibility by installing sidewalks and signs that promote use of walking and biking paths. </w:t>
      </w:r>
    </w:p>
    <w:p w14:paraId="134617DC" w14:textId="2B84D8B3" w:rsidR="00CB1DBC" w:rsidRDefault="008C3989">
      <w:pPr>
        <w:rPr>
          <w:sz w:val="24"/>
          <w:szCs w:val="24"/>
        </w:rPr>
      </w:pPr>
      <w:r w:rsidRPr="008C3989">
        <w:rPr>
          <w:color w:val="761E28" w:themeColor="accent2" w:themeShade="BF"/>
          <w:sz w:val="26"/>
          <w:szCs w:val="26"/>
        </w:rPr>
        <w:t>7. Modifying/Changing/Developing Policies.</w:t>
      </w:r>
      <w:r w:rsidRPr="008C3989">
        <w:rPr>
          <w:color w:val="761E28" w:themeColor="accent2" w:themeShade="BF"/>
          <w:sz w:val="28"/>
          <w:szCs w:val="28"/>
        </w:rPr>
        <w:t xml:space="preserve"> </w:t>
      </w:r>
      <w:r>
        <w:rPr>
          <w:sz w:val="24"/>
          <w:szCs w:val="24"/>
        </w:rPr>
        <w:t>Formal change in written procedures, by-laws, proclamations, rules</w:t>
      </w:r>
      <w:r w:rsidR="001466DF">
        <w:rPr>
          <w:sz w:val="24"/>
          <w:szCs w:val="24"/>
        </w:rPr>
        <w:t>,</w:t>
      </w:r>
      <w:r>
        <w:rPr>
          <w:sz w:val="24"/>
          <w:szCs w:val="24"/>
        </w:rPr>
        <w:t xml:space="preserve"> or laws with written documentation and/or voting procedures</w:t>
      </w:r>
      <w:r w:rsidR="001466DF">
        <w:rPr>
          <w:sz w:val="24"/>
          <w:szCs w:val="24"/>
        </w:rPr>
        <w:t>. Policy change can take place at the municipal level, state level, with</w:t>
      </w:r>
      <w:r w:rsidR="004B6AEA">
        <w:rPr>
          <w:sz w:val="24"/>
          <w:szCs w:val="24"/>
        </w:rPr>
        <w:t>in</w:t>
      </w:r>
      <w:r w:rsidR="001466DF">
        <w:rPr>
          <w:sz w:val="24"/>
          <w:szCs w:val="24"/>
        </w:rPr>
        <w:t xml:space="preserve"> school districts,</w:t>
      </w:r>
      <w:r w:rsidR="004B6AEA">
        <w:rPr>
          <w:sz w:val="24"/>
          <w:szCs w:val="24"/>
        </w:rPr>
        <w:t xml:space="preserve"> law enforcement, or other agencies,</w:t>
      </w:r>
      <w:r w:rsidR="00BF15CB">
        <w:rPr>
          <w:sz w:val="24"/>
          <w:szCs w:val="24"/>
        </w:rPr>
        <w:t xml:space="preserve"> </w:t>
      </w:r>
      <w:r w:rsidR="001466DF">
        <w:rPr>
          <w:sz w:val="24"/>
          <w:szCs w:val="24"/>
        </w:rPr>
        <w:t>or private businesses.</w:t>
      </w:r>
      <w:r w:rsidR="00BF15CB">
        <w:rPr>
          <w:sz w:val="24"/>
          <w:szCs w:val="24"/>
        </w:rPr>
        <w:t xml:space="preserve"> For example,</w:t>
      </w:r>
      <w:r>
        <w:rPr>
          <w:sz w:val="24"/>
          <w:szCs w:val="24"/>
        </w:rPr>
        <w:t xml:space="preserve"> </w:t>
      </w:r>
      <w:r w:rsidR="00BF15CB">
        <w:rPr>
          <w:sz w:val="24"/>
          <w:szCs w:val="24"/>
        </w:rPr>
        <w:t xml:space="preserve">healthy </w:t>
      </w:r>
      <w:r>
        <w:rPr>
          <w:sz w:val="24"/>
          <w:szCs w:val="24"/>
        </w:rPr>
        <w:t xml:space="preserve">workplace initiatives, law enforcement procedures and practices, taxation, regulatory oversight, public policy actions, </w:t>
      </w:r>
      <w:r w:rsidR="004B6AEA">
        <w:rPr>
          <w:sz w:val="24"/>
          <w:szCs w:val="24"/>
        </w:rPr>
        <w:t>etc.</w:t>
      </w:r>
    </w:p>
    <w:p w14:paraId="030E16D0" w14:textId="77777777" w:rsidR="00CB1DBC" w:rsidRDefault="00CB1DBC">
      <w:pPr>
        <w:pStyle w:val="Heading1"/>
        <w:rPr>
          <w:color w:val="0D2C3E"/>
        </w:rPr>
      </w:pPr>
    </w:p>
    <w:p w14:paraId="4E8DCC67" w14:textId="4BD5E1C3" w:rsidR="00CB1DBC" w:rsidRDefault="0011201B">
      <w:pPr>
        <w:pStyle w:val="Heading1"/>
        <w:rPr>
          <w:color w:val="0D2C3E"/>
        </w:rPr>
      </w:pPr>
      <w:r>
        <w:rPr>
          <w:color w:val="0D2C3E"/>
        </w:rPr>
        <w:t xml:space="preserve">Part 2: </w:t>
      </w:r>
      <w:r w:rsidR="00197398">
        <w:rPr>
          <w:color w:val="0D2C3E"/>
        </w:rPr>
        <w:t xml:space="preserve">Selecting </w:t>
      </w:r>
      <w:r>
        <w:rPr>
          <w:color w:val="0D2C3E"/>
        </w:rPr>
        <w:t>S</w:t>
      </w:r>
      <w:r w:rsidR="00197398">
        <w:rPr>
          <w:color w:val="0D2C3E"/>
        </w:rPr>
        <w:t>trateg</w:t>
      </w:r>
      <w:r>
        <w:rPr>
          <w:color w:val="0D2C3E"/>
        </w:rPr>
        <w:t>ies</w:t>
      </w:r>
    </w:p>
    <w:p w14:paraId="30E77705" w14:textId="77777777" w:rsidR="00CB1DBC" w:rsidRDefault="008C3989">
      <w:pPr>
        <w:rPr>
          <w:sz w:val="24"/>
          <w:szCs w:val="24"/>
        </w:rPr>
      </w:pPr>
      <w:r>
        <w:rPr>
          <w:sz w:val="24"/>
          <w:szCs w:val="24"/>
        </w:rPr>
        <w:t xml:space="preserve">A good strategy will: </w:t>
      </w:r>
    </w:p>
    <w:p w14:paraId="3ACDBF00" w14:textId="73C8ED12" w:rsidR="00CB1DBC" w:rsidRDefault="008C3989">
      <w:pPr>
        <w:numPr>
          <w:ilvl w:val="0"/>
          <w:numId w:val="2"/>
        </w:numPr>
        <w:pBdr>
          <w:top w:val="nil"/>
          <w:left w:val="nil"/>
          <w:bottom w:val="nil"/>
          <w:right w:val="nil"/>
          <w:between w:val="nil"/>
        </w:pBdr>
        <w:spacing w:after="0"/>
        <w:ind w:left="360"/>
        <w:rPr>
          <w:color w:val="000000"/>
          <w:sz w:val="24"/>
          <w:szCs w:val="24"/>
        </w:rPr>
      </w:pPr>
      <w:r w:rsidRPr="008C3989">
        <w:rPr>
          <w:color w:val="761E28" w:themeColor="accent2" w:themeShade="BF"/>
          <w:sz w:val="26"/>
          <w:szCs w:val="26"/>
        </w:rPr>
        <w:t>Fit the coalition’s resources and opportunities.</w:t>
      </w:r>
      <w:r w:rsidRPr="008C3989">
        <w:rPr>
          <w:color w:val="761E28" w:themeColor="accent2" w:themeShade="BF"/>
          <w:sz w:val="28"/>
          <w:szCs w:val="28"/>
        </w:rPr>
        <w:t xml:space="preserve"> </w:t>
      </w:r>
      <w:r>
        <w:rPr>
          <w:color w:val="000000"/>
          <w:sz w:val="24"/>
          <w:szCs w:val="24"/>
        </w:rPr>
        <w:t>A good strategy takes advantage of current resources, such as a tradition of community pride. It also embraces new opportunities, such as an emerging public concern for neighborhood safety. A good strategy is also feasible for the coalition to implement: Do you have enough money? Enough time? Enough knowledge? Enough authority? If not, are there partners you could engage with who have these resources? If not, it may not be the right strategy for you now.  For example, if you are considering implementing a c</w:t>
      </w:r>
      <w:r>
        <w:rPr>
          <w:color w:val="000000"/>
          <w:sz w:val="24"/>
          <w:szCs w:val="24"/>
        </w:rPr>
        <w:t xml:space="preserve">lass on healthy coping strategies, does the coalition have the money to purchase the program? Do you have members qualified or interested in being trained to deliver the program? </w:t>
      </w:r>
      <w:r w:rsidR="00F731F6">
        <w:rPr>
          <w:color w:val="000000"/>
          <w:sz w:val="24"/>
          <w:szCs w:val="24"/>
        </w:rPr>
        <w:t xml:space="preserve">Or can you take advantage of an existing </w:t>
      </w:r>
      <w:r w:rsidR="00680ACE">
        <w:rPr>
          <w:color w:val="000000"/>
          <w:sz w:val="24"/>
          <w:szCs w:val="24"/>
        </w:rPr>
        <w:t>class and ask the providers to offer it in your community?</w:t>
      </w:r>
      <w:r>
        <w:rPr>
          <w:color w:val="000000"/>
        </w:rPr>
        <w:br/>
      </w:r>
    </w:p>
    <w:p w14:paraId="02254815" w14:textId="77777777" w:rsidR="00CB1DBC" w:rsidRDefault="008C3989">
      <w:pPr>
        <w:numPr>
          <w:ilvl w:val="0"/>
          <w:numId w:val="1"/>
        </w:numPr>
        <w:pBdr>
          <w:top w:val="nil"/>
          <w:left w:val="nil"/>
          <w:bottom w:val="nil"/>
          <w:right w:val="nil"/>
          <w:between w:val="nil"/>
        </w:pBdr>
        <w:spacing w:after="0"/>
        <w:ind w:left="360"/>
        <w:rPr>
          <w:color w:val="000000"/>
          <w:sz w:val="24"/>
          <w:szCs w:val="24"/>
        </w:rPr>
      </w:pPr>
      <w:r w:rsidRPr="008C3989">
        <w:rPr>
          <w:color w:val="761E28" w:themeColor="accent2" w:themeShade="BF"/>
          <w:sz w:val="26"/>
          <w:szCs w:val="26"/>
        </w:rPr>
        <w:t>Minimize resistance and barriers.</w:t>
      </w:r>
      <w:r w:rsidRPr="008C3989">
        <w:rPr>
          <w:color w:val="761E28" w:themeColor="accent2" w:themeShade="BF"/>
          <w:sz w:val="28"/>
          <w:szCs w:val="28"/>
        </w:rPr>
        <w:t xml:space="preserve"> </w:t>
      </w:r>
      <w:r>
        <w:rPr>
          <w:color w:val="000000"/>
          <w:sz w:val="24"/>
          <w:szCs w:val="24"/>
        </w:rPr>
        <w:t xml:space="preserve">What obstacles or resistance would make it difficult to implement the strategy? How can the coalition minimize or get around them? Depending on what you’re trying to accomplish, some resistance from community members or organizations might be expected. However, strategies need not provide a reason for </w:t>
      </w:r>
      <w:r>
        <w:rPr>
          <w:color w:val="000000"/>
          <w:sz w:val="24"/>
          <w:szCs w:val="24"/>
        </w:rPr>
        <w:lastRenderedPageBreak/>
        <w:t xml:space="preserve">opponents to attack the initiative. Good strategies attract allies and deter opponents. </w:t>
      </w:r>
      <w:r>
        <w:rPr>
          <w:color w:val="000000"/>
          <w:sz w:val="24"/>
          <w:szCs w:val="24"/>
        </w:rPr>
        <w:br/>
      </w:r>
    </w:p>
    <w:p w14:paraId="6B4B0260" w14:textId="691D5013" w:rsidR="00CB1DBC" w:rsidRDefault="008C3989">
      <w:pPr>
        <w:numPr>
          <w:ilvl w:val="0"/>
          <w:numId w:val="1"/>
        </w:numPr>
        <w:pBdr>
          <w:top w:val="nil"/>
          <w:left w:val="nil"/>
          <w:bottom w:val="nil"/>
          <w:right w:val="nil"/>
          <w:between w:val="nil"/>
        </w:pBdr>
        <w:spacing w:after="0"/>
        <w:ind w:left="360"/>
        <w:rPr>
          <w:color w:val="000000"/>
          <w:sz w:val="24"/>
          <w:szCs w:val="24"/>
        </w:rPr>
      </w:pPr>
      <w:r w:rsidRPr="008C3989">
        <w:rPr>
          <w:color w:val="761E28" w:themeColor="accent2" w:themeShade="BF"/>
          <w:sz w:val="26"/>
          <w:szCs w:val="26"/>
        </w:rPr>
        <w:t>Reach those affected</w:t>
      </w:r>
      <w:r w:rsidRPr="008C3989">
        <w:rPr>
          <w:i/>
          <w:color w:val="761E28" w:themeColor="accent2" w:themeShade="BF"/>
          <w:sz w:val="24"/>
          <w:szCs w:val="24"/>
        </w:rPr>
        <w:t>.</w:t>
      </w:r>
      <w:r w:rsidRPr="008C3989">
        <w:rPr>
          <w:color w:val="761E28" w:themeColor="accent2" w:themeShade="BF"/>
          <w:sz w:val="28"/>
          <w:szCs w:val="28"/>
        </w:rPr>
        <w:t xml:space="preserve"> </w:t>
      </w:r>
      <w:r>
        <w:rPr>
          <w:color w:val="000000"/>
          <w:sz w:val="24"/>
          <w:szCs w:val="24"/>
        </w:rPr>
        <w:t xml:space="preserve">Strategies must connect to your </w:t>
      </w:r>
      <w:r w:rsidR="003A3C88">
        <w:rPr>
          <w:color w:val="000000"/>
          <w:sz w:val="24"/>
          <w:szCs w:val="24"/>
        </w:rPr>
        <w:t>focus</w:t>
      </w:r>
      <w:r>
        <w:rPr>
          <w:color w:val="000000"/>
          <w:sz w:val="24"/>
          <w:szCs w:val="24"/>
        </w:rPr>
        <w:t xml:space="preserve"> population. </w:t>
      </w:r>
      <w:r>
        <w:rPr>
          <w:color w:val="000000"/>
          <w:sz w:val="24"/>
          <w:szCs w:val="24"/>
        </w:rPr>
        <w:br/>
      </w:r>
    </w:p>
    <w:p w14:paraId="37A71849" w14:textId="7EDB7881" w:rsidR="00CB1DBC" w:rsidRDefault="008C3989">
      <w:pPr>
        <w:numPr>
          <w:ilvl w:val="0"/>
          <w:numId w:val="1"/>
        </w:numPr>
        <w:pBdr>
          <w:top w:val="nil"/>
          <w:left w:val="nil"/>
          <w:bottom w:val="nil"/>
          <w:right w:val="nil"/>
          <w:between w:val="nil"/>
        </w:pBdr>
        <w:ind w:left="360"/>
        <w:rPr>
          <w:color w:val="000000"/>
          <w:sz w:val="24"/>
          <w:szCs w:val="24"/>
        </w:rPr>
      </w:pPr>
      <w:r w:rsidRPr="008C3989">
        <w:rPr>
          <w:color w:val="761E28" w:themeColor="accent2" w:themeShade="BF"/>
          <w:sz w:val="26"/>
          <w:szCs w:val="26"/>
        </w:rPr>
        <w:t>Impact the identified contributing factor(s).</w:t>
      </w:r>
      <w:r w:rsidRPr="008C3989">
        <w:rPr>
          <w:color w:val="761E28" w:themeColor="accent2" w:themeShade="BF"/>
          <w:sz w:val="28"/>
          <w:szCs w:val="28"/>
        </w:rPr>
        <w:t xml:space="preserve"> </w:t>
      </w:r>
      <w:r>
        <w:rPr>
          <w:color w:val="000000"/>
          <w:sz w:val="24"/>
          <w:szCs w:val="24"/>
        </w:rPr>
        <w:t xml:space="preserve">If the aim is to reduce a problem such as unemployment, is the strategy enough to make a difference </w:t>
      </w:r>
      <w:proofErr w:type="gramStart"/>
      <w:r>
        <w:rPr>
          <w:color w:val="000000"/>
          <w:sz w:val="24"/>
          <w:szCs w:val="24"/>
        </w:rPr>
        <w:t>on</w:t>
      </w:r>
      <w:proofErr w:type="gramEnd"/>
      <w:r>
        <w:rPr>
          <w:color w:val="000000"/>
          <w:sz w:val="24"/>
          <w:szCs w:val="24"/>
        </w:rPr>
        <w:t xml:space="preserve"> rates of employment, either on its own or as part of a comprehensive plan? When possible, </w:t>
      </w:r>
      <w:r w:rsidR="003A3C88">
        <w:rPr>
          <w:color w:val="000000"/>
          <w:sz w:val="24"/>
          <w:szCs w:val="24"/>
        </w:rPr>
        <w:t>use</w:t>
      </w:r>
      <w:r>
        <w:rPr>
          <w:color w:val="000000"/>
          <w:sz w:val="24"/>
          <w:szCs w:val="24"/>
        </w:rPr>
        <w:t xml:space="preserve"> </w:t>
      </w:r>
      <w:r w:rsidR="00533926">
        <w:rPr>
          <w:color w:val="000000"/>
          <w:sz w:val="24"/>
          <w:szCs w:val="24"/>
        </w:rPr>
        <w:t xml:space="preserve">evidenced-based strategies </w:t>
      </w:r>
      <w:r>
        <w:rPr>
          <w:color w:val="000000"/>
          <w:sz w:val="24"/>
          <w:szCs w:val="24"/>
        </w:rPr>
        <w:t xml:space="preserve">that have </w:t>
      </w:r>
      <w:r w:rsidR="003A3C88">
        <w:rPr>
          <w:color w:val="000000"/>
          <w:sz w:val="24"/>
          <w:szCs w:val="24"/>
        </w:rPr>
        <w:t>been shown through research to</w:t>
      </w:r>
      <w:r>
        <w:rPr>
          <w:color w:val="000000"/>
          <w:sz w:val="24"/>
          <w:szCs w:val="24"/>
        </w:rPr>
        <w:t xml:space="preserve"> work. Avoid strategies have been shown NOT to work. </w:t>
      </w:r>
    </w:p>
    <w:p w14:paraId="205B7938" w14:textId="77777777" w:rsidR="00CB1DBC" w:rsidRDefault="008C3989">
      <w:pPr>
        <w:rPr>
          <w:b/>
          <w:sz w:val="24"/>
          <w:szCs w:val="24"/>
        </w:rPr>
      </w:pPr>
      <w:r>
        <w:rPr>
          <w:b/>
          <w:sz w:val="24"/>
          <w:szCs w:val="24"/>
        </w:rPr>
        <w:t xml:space="preserve">Overall, the coalition should focus on selecting strategies that are practical given the coalition’s resources and timeline, shown to be effective, are consistent with the coalition’s mission and, taken together, form a comprehensive approach to impacting the contributing factors leading to the issues in your community.  </w:t>
      </w:r>
    </w:p>
    <w:p w14:paraId="704624DE" w14:textId="77777777" w:rsidR="00CB1DBC" w:rsidRDefault="00CB1DBC">
      <w:pPr>
        <w:rPr>
          <w:sz w:val="24"/>
          <w:szCs w:val="24"/>
        </w:rPr>
      </w:pPr>
    </w:p>
    <w:p w14:paraId="4E015C72" w14:textId="20CC1A36" w:rsidR="00CB1DBC" w:rsidRDefault="0011201B">
      <w:pPr>
        <w:pStyle w:val="Heading1"/>
        <w:rPr>
          <w:color w:val="1B587C"/>
        </w:rPr>
      </w:pPr>
      <w:r>
        <w:rPr>
          <w:color w:val="1B587C"/>
        </w:rPr>
        <w:t>Part 3: Researching</w:t>
      </w:r>
      <w:r w:rsidR="00536AD0">
        <w:rPr>
          <w:color w:val="1B587C"/>
        </w:rPr>
        <w:t xml:space="preserve"> </w:t>
      </w:r>
      <w:r>
        <w:rPr>
          <w:color w:val="1B587C"/>
        </w:rPr>
        <w:t>S</w:t>
      </w:r>
      <w:r w:rsidR="00536AD0">
        <w:rPr>
          <w:color w:val="1B587C"/>
        </w:rPr>
        <w:t>trategies</w:t>
      </w:r>
    </w:p>
    <w:p w14:paraId="25446EBD" w14:textId="77777777" w:rsidR="00CB1DBC" w:rsidRDefault="008C3989">
      <w:pPr>
        <w:rPr>
          <w:sz w:val="24"/>
          <w:szCs w:val="24"/>
        </w:rPr>
      </w:pPr>
      <w:r>
        <w:rPr>
          <w:sz w:val="24"/>
          <w:szCs w:val="24"/>
        </w:rPr>
        <w:t>The following are ideas for brainstorming strategies as well as online sources for specific types of strategies.</w:t>
      </w:r>
    </w:p>
    <w:p w14:paraId="4D58FCA9" w14:textId="77777777" w:rsidR="00CB1DBC" w:rsidRPr="008C3989" w:rsidRDefault="008C3989">
      <w:pPr>
        <w:pStyle w:val="Heading2"/>
        <w:rPr>
          <w:color w:val="761E28" w:themeColor="accent2" w:themeShade="BF"/>
        </w:rPr>
      </w:pPr>
      <w:r w:rsidRPr="008C3989">
        <w:rPr>
          <w:color w:val="761E28" w:themeColor="accent2" w:themeShade="BF"/>
        </w:rPr>
        <w:t xml:space="preserve">Do you want to reduce an existing problem or try to prevent a problem before it starts? </w:t>
      </w:r>
    </w:p>
    <w:p w14:paraId="69E1BB7B" w14:textId="77777777" w:rsidR="00CB1DBC" w:rsidRDefault="008C3989">
      <w:pPr>
        <w:rPr>
          <w:sz w:val="24"/>
          <w:szCs w:val="24"/>
        </w:rPr>
      </w:pPr>
      <w:r>
        <w:rPr>
          <w:sz w:val="24"/>
          <w:szCs w:val="24"/>
        </w:rPr>
        <w:t xml:space="preserve">As you think about strategies, consider how you want to approach the issue. For </w:t>
      </w:r>
      <w:r>
        <w:rPr>
          <w:sz w:val="24"/>
          <w:szCs w:val="24"/>
        </w:rPr>
        <w:t>example, if you’re trying to reduce teen vaping, you might consider gearing some of your strategies to younger children who are not yet exposed to e-cigarettes. Or, to promote academic success, you may choose to work with younger children who still have full potential for learning and school success.</w:t>
      </w:r>
    </w:p>
    <w:p w14:paraId="13E24098" w14:textId="77777777" w:rsidR="00CB1DBC" w:rsidRPr="008C3989" w:rsidRDefault="008C3989">
      <w:pPr>
        <w:pStyle w:val="Heading2"/>
        <w:rPr>
          <w:color w:val="761E28" w:themeColor="accent2" w:themeShade="BF"/>
        </w:rPr>
      </w:pPr>
      <w:r w:rsidRPr="008C3989">
        <w:rPr>
          <w:color w:val="761E28" w:themeColor="accent2" w:themeShade="BF"/>
        </w:rPr>
        <w:t xml:space="preserve">What has the coalition already been doing? </w:t>
      </w:r>
    </w:p>
    <w:p w14:paraId="69D4B1B3" w14:textId="2FA735D3" w:rsidR="00CB1DBC" w:rsidRDefault="008C3989">
      <w:pPr>
        <w:rPr>
          <w:color w:val="000000"/>
          <w:sz w:val="24"/>
          <w:szCs w:val="24"/>
        </w:rPr>
      </w:pPr>
      <w:r>
        <w:rPr>
          <w:color w:val="000000"/>
          <w:sz w:val="24"/>
          <w:szCs w:val="24"/>
        </w:rPr>
        <w:t xml:space="preserve">Look at the activities the coalition is currently doing. </w:t>
      </w:r>
      <w:proofErr w:type="gramStart"/>
      <w:r>
        <w:rPr>
          <w:color w:val="000000"/>
          <w:sz w:val="24"/>
          <w:szCs w:val="24"/>
        </w:rPr>
        <w:t>Do</w:t>
      </w:r>
      <w:proofErr w:type="gramEnd"/>
      <w:r>
        <w:rPr>
          <w:color w:val="000000"/>
          <w:sz w:val="24"/>
          <w:szCs w:val="24"/>
        </w:rPr>
        <w:t xml:space="preserve"> any address your prioritized contributing factor or can they be modified to address them? Can you </w:t>
      </w:r>
      <w:r>
        <w:rPr>
          <w:color w:val="000000"/>
          <w:sz w:val="24"/>
          <w:szCs w:val="24"/>
        </w:rPr>
        <w:t>build upon them?</w:t>
      </w:r>
    </w:p>
    <w:p w14:paraId="1FB21FDB" w14:textId="77777777" w:rsidR="00CB1DBC" w:rsidRPr="008C3989" w:rsidRDefault="008C3989">
      <w:pPr>
        <w:pStyle w:val="Heading2"/>
        <w:rPr>
          <w:color w:val="761E28" w:themeColor="accent2" w:themeShade="BF"/>
        </w:rPr>
      </w:pPr>
      <w:r w:rsidRPr="008C3989">
        <w:rPr>
          <w:color w:val="761E28" w:themeColor="accent2" w:themeShade="BF"/>
        </w:rPr>
        <w:t>Where are there gaps in resources?</w:t>
      </w:r>
    </w:p>
    <w:p w14:paraId="0F7CE9C1" w14:textId="4D372D63" w:rsidR="00CB1DBC" w:rsidRDefault="00ED7432">
      <w:pPr>
        <w:rPr>
          <w:sz w:val="24"/>
          <w:szCs w:val="24"/>
        </w:rPr>
      </w:pPr>
      <w:r>
        <w:rPr>
          <w:sz w:val="24"/>
          <w:szCs w:val="24"/>
        </w:rPr>
        <w:t xml:space="preserve">Consider where there are gaps in existing resources. Sometimes there aren’t any existing resources that directly address your prioritized contributing factors, or the existing resources are not enough to fully address the contributing factor. How could you fill the gaps? How could you enhance or extend the reach of existing resources? Types of gaps include: </w:t>
      </w:r>
    </w:p>
    <w:p w14:paraId="462058BF" w14:textId="77777777" w:rsidR="00CB1DBC" w:rsidRDefault="008C3989">
      <w:pPr>
        <w:numPr>
          <w:ilvl w:val="0"/>
          <w:numId w:val="3"/>
        </w:numPr>
        <w:pBdr>
          <w:top w:val="nil"/>
          <w:left w:val="nil"/>
          <w:bottom w:val="nil"/>
          <w:right w:val="nil"/>
          <w:between w:val="nil"/>
        </w:pBdr>
        <w:spacing w:after="0"/>
        <w:rPr>
          <w:color w:val="000000"/>
          <w:sz w:val="24"/>
          <w:szCs w:val="24"/>
        </w:rPr>
      </w:pPr>
      <w:r w:rsidRPr="008C3989">
        <w:rPr>
          <w:i/>
          <w:color w:val="761E28" w:themeColor="accent2" w:themeShade="BF"/>
          <w:sz w:val="24"/>
          <w:szCs w:val="24"/>
        </w:rPr>
        <w:t>Demographic gaps:</w:t>
      </w:r>
      <w:r w:rsidRPr="008C3989">
        <w:rPr>
          <w:i/>
          <w:color w:val="761E28" w:themeColor="accent2" w:themeShade="BF"/>
          <w:sz w:val="24"/>
          <w:szCs w:val="24"/>
        </w:rPr>
        <w:t xml:space="preserve"> </w:t>
      </w:r>
      <w:r>
        <w:rPr>
          <w:color w:val="000000"/>
          <w:sz w:val="24"/>
          <w:szCs w:val="24"/>
        </w:rPr>
        <w:t xml:space="preserve">Services may not be available in a developmentally appropriate manner for all ages, or in a culturally appropriate manner for members of diverse communities. </w:t>
      </w:r>
    </w:p>
    <w:p w14:paraId="61F963BD" w14:textId="77777777" w:rsidR="00CB1DBC" w:rsidRDefault="008C3989">
      <w:pPr>
        <w:numPr>
          <w:ilvl w:val="0"/>
          <w:numId w:val="3"/>
        </w:numPr>
        <w:pBdr>
          <w:top w:val="nil"/>
          <w:left w:val="nil"/>
          <w:bottom w:val="nil"/>
          <w:right w:val="nil"/>
          <w:between w:val="nil"/>
        </w:pBdr>
        <w:spacing w:after="0"/>
        <w:rPr>
          <w:color w:val="000000"/>
          <w:sz w:val="24"/>
          <w:szCs w:val="24"/>
        </w:rPr>
      </w:pPr>
      <w:r w:rsidRPr="008C3989">
        <w:rPr>
          <w:i/>
          <w:color w:val="761E28" w:themeColor="accent2" w:themeShade="BF"/>
          <w:sz w:val="24"/>
          <w:szCs w:val="24"/>
        </w:rPr>
        <w:lastRenderedPageBreak/>
        <w:t>Geographic gaps:</w:t>
      </w:r>
      <w:r w:rsidRPr="008C3989">
        <w:rPr>
          <w:color w:val="761E28" w:themeColor="accent2" w:themeShade="BF"/>
          <w:sz w:val="28"/>
          <w:szCs w:val="28"/>
        </w:rPr>
        <w:t xml:space="preserve"> </w:t>
      </w:r>
      <w:r>
        <w:rPr>
          <w:color w:val="000000"/>
          <w:sz w:val="24"/>
          <w:szCs w:val="24"/>
        </w:rPr>
        <w:t xml:space="preserve">Services may not be available throughout the defined community. They may be available within an urban community but not in a less densely populated rural area. </w:t>
      </w:r>
    </w:p>
    <w:p w14:paraId="37742706" w14:textId="77777777" w:rsidR="00CB1DBC" w:rsidRDefault="008C3989">
      <w:pPr>
        <w:numPr>
          <w:ilvl w:val="0"/>
          <w:numId w:val="3"/>
        </w:numPr>
        <w:pBdr>
          <w:top w:val="nil"/>
          <w:left w:val="nil"/>
          <w:bottom w:val="nil"/>
          <w:right w:val="nil"/>
          <w:between w:val="nil"/>
        </w:pBdr>
        <w:spacing w:after="0"/>
        <w:rPr>
          <w:color w:val="000000"/>
          <w:sz w:val="24"/>
          <w:szCs w:val="24"/>
        </w:rPr>
      </w:pPr>
      <w:r w:rsidRPr="008C3989">
        <w:rPr>
          <w:i/>
          <w:color w:val="761E28" w:themeColor="accent2" w:themeShade="BF"/>
          <w:sz w:val="24"/>
          <w:szCs w:val="24"/>
        </w:rPr>
        <w:t>Service delivery/program gaps:</w:t>
      </w:r>
      <w:r w:rsidRPr="008C3989">
        <w:rPr>
          <w:color w:val="761E28" w:themeColor="accent2" w:themeShade="BF"/>
          <w:sz w:val="28"/>
          <w:szCs w:val="28"/>
        </w:rPr>
        <w:t xml:space="preserve"> </w:t>
      </w:r>
      <w:r>
        <w:rPr>
          <w:color w:val="000000"/>
          <w:sz w:val="24"/>
          <w:szCs w:val="24"/>
        </w:rPr>
        <w:t xml:space="preserve">Needed services or programs may not be available in the community. For example, responsible beverage server training may be needed, but there may not be anybody qualified to teach the classes. </w:t>
      </w:r>
    </w:p>
    <w:p w14:paraId="7E09D117" w14:textId="11A8F316" w:rsidR="00CB1DBC" w:rsidRDefault="008C3989">
      <w:pPr>
        <w:numPr>
          <w:ilvl w:val="0"/>
          <w:numId w:val="3"/>
        </w:numPr>
        <w:pBdr>
          <w:top w:val="nil"/>
          <w:left w:val="nil"/>
          <w:bottom w:val="nil"/>
          <w:right w:val="nil"/>
          <w:between w:val="nil"/>
        </w:pBdr>
        <w:spacing w:after="0"/>
        <w:rPr>
          <w:color w:val="000000"/>
          <w:sz w:val="24"/>
          <w:szCs w:val="24"/>
        </w:rPr>
      </w:pPr>
      <w:r w:rsidRPr="008C3989">
        <w:rPr>
          <w:i/>
          <w:color w:val="761E28" w:themeColor="accent2" w:themeShade="BF"/>
          <w:sz w:val="24"/>
          <w:szCs w:val="24"/>
        </w:rPr>
        <w:t>Resource gaps:</w:t>
      </w:r>
      <w:r w:rsidRPr="008C3989">
        <w:rPr>
          <w:color w:val="761E28" w:themeColor="accent2" w:themeShade="BF"/>
          <w:sz w:val="28"/>
          <w:szCs w:val="28"/>
        </w:rPr>
        <w:t xml:space="preserve"> </w:t>
      </w:r>
      <w:r>
        <w:rPr>
          <w:color w:val="000000"/>
          <w:sz w:val="24"/>
          <w:szCs w:val="24"/>
        </w:rPr>
        <w:t xml:space="preserve">There may not be sufficient materials to reach all populations. For example, a school district may have qualified life skills instructors, but may not have funding for the workbooks and other class materials. </w:t>
      </w:r>
    </w:p>
    <w:p w14:paraId="59A75D3C" w14:textId="668144B6" w:rsidR="00CB1DBC" w:rsidRDefault="008C3989">
      <w:pPr>
        <w:numPr>
          <w:ilvl w:val="0"/>
          <w:numId w:val="3"/>
        </w:numPr>
        <w:pBdr>
          <w:top w:val="nil"/>
          <w:left w:val="nil"/>
          <w:bottom w:val="nil"/>
          <w:right w:val="nil"/>
          <w:between w:val="nil"/>
        </w:pBdr>
        <w:rPr>
          <w:color w:val="000000"/>
          <w:sz w:val="24"/>
          <w:szCs w:val="24"/>
        </w:rPr>
      </w:pPr>
      <w:r w:rsidRPr="008C3989">
        <w:rPr>
          <w:i/>
          <w:color w:val="761E28" w:themeColor="accent2" w:themeShade="BF"/>
          <w:sz w:val="24"/>
          <w:szCs w:val="24"/>
        </w:rPr>
        <w:t>Laws and enforcement gaps:</w:t>
      </w:r>
      <w:r w:rsidRPr="008C3989">
        <w:rPr>
          <w:color w:val="761E28" w:themeColor="accent2" w:themeShade="BF"/>
          <w:sz w:val="28"/>
          <w:szCs w:val="28"/>
        </w:rPr>
        <w:t xml:space="preserve"> </w:t>
      </w:r>
      <w:r>
        <w:rPr>
          <w:color w:val="000000"/>
          <w:sz w:val="24"/>
          <w:szCs w:val="24"/>
        </w:rPr>
        <w:t>These gaps exist when the current laws and/or ability to enforce the laws is not available in a community. For example, in rural communities where only one or two law enforcement personnel are on duty</w:t>
      </w:r>
      <w:r w:rsidR="0070062D">
        <w:rPr>
          <w:color w:val="000000"/>
          <w:sz w:val="24"/>
          <w:szCs w:val="24"/>
        </w:rPr>
        <w:t>, the officers</w:t>
      </w:r>
      <w:r>
        <w:rPr>
          <w:color w:val="000000"/>
          <w:sz w:val="24"/>
          <w:szCs w:val="24"/>
        </w:rPr>
        <w:t xml:space="preserve"> may not be able to patrol all the locations of underage drinking parties.</w:t>
      </w:r>
    </w:p>
    <w:p w14:paraId="04B0A6A2" w14:textId="77777777" w:rsidR="00CB1DBC" w:rsidRDefault="00CB1DBC">
      <w:pPr>
        <w:ind w:left="360"/>
        <w:rPr>
          <w:sz w:val="24"/>
          <w:szCs w:val="24"/>
        </w:rPr>
      </w:pPr>
    </w:p>
    <w:p w14:paraId="07F5548B" w14:textId="77777777" w:rsidR="00CB1DBC" w:rsidRPr="008C3989" w:rsidRDefault="008C3989">
      <w:pPr>
        <w:pStyle w:val="Heading2"/>
        <w:rPr>
          <w:color w:val="761E28" w:themeColor="accent2" w:themeShade="BF"/>
        </w:rPr>
      </w:pPr>
      <w:r w:rsidRPr="008C3989">
        <w:rPr>
          <w:color w:val="761E28" w:themeColor="accent2" w:themeShade="BF"/>
        </w:rPr>
        <w:t>Look to online resources for ideas.</w:t>
      </w:r>
    </w:p>
    <w:tbl>
      <w:tblPr>
        <w:tblStyle w:val="a0"/>
        <w:tblW w:w="10008" w:type="dxa"/>
        <w:tblInd w:w="-108" w:type="dxa"/>
        <w:tblBorders>
          <w:top w:val="single" w:sz="4" w:space="0" w:color="C19859"/>
          <w:left w:val="single" w:sz="4" w:space="0" w:color="604878"/>
          <w:bottom w:val="single" w:sz="4" w:space="0" w:color="C19859"/>
          <w:right w:val="single" w:sz="4" w:space="0" w:color="604878"/>
          <w:insideH w:val="single" w:sz="4" w:space="0" w:color="000000"/>
          <w:insideV w:val="single" w:sz="4" w:space="0" w:color="000000"/>
        </w:tblBorders>
        <w:tblLayout w:type="fixed"/>
        <w:tblLook w:val="04A0" w:firstRow="1" w:lastRow="0" w:firstColumn="1" w:lastColumn="0" w:noHBand="0" w:noVBand="1"/>
      </w:tblPr>
      <w:tblGrid>
        <w:gridCol w:w="3510"/>
        <w:gridCol w:w="6498"/>
      </w:tblGrid>
      <w:tr w:rsidR="00CB1DBC" w14:paraId="454C564B" w14:textId="77777777" w:rsidTr="000A5F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gridSpan w:val="2"/>
            <w:tcBorders>
              <w:top w:val="nil"/>
              <w:left w:val="nil"/>
              <w:bottom w:val="single" w:sz="4" w:space="0" w:color="000000"/>
              <w:right w:val="nil"/>
            </w:tcBorders>
          </w:tcPr>
          <w:p w14:paraId="69B91B1B" w14:textId="4EFB848D" w:rsidR="00CB1DBC" w:rsidRDefault="008C3989">
            <w:pPr>
              <w:rPr>
                <w:color w:val="000000"/>
                <w:sz w:val="24"/>
                <w:szCs w:val="24"/>
              </w:rPr>
            </w:pPr>
            <w:r>
              <w:rPr>
                <w:b w:val="0"/>
                <w:color w:val="000000"/>
                <w:sz w:val="24"/>
                <w:szCs w:val="24"/>
              </w:rPr>
              <w:t xml:space="preserve">The following table provides online resources </w:t>
            </w:r>
            <w:r w:rsidR="00257CA0">
              <w:rPr>
                <w:b w:val="0"/>
                <w:color w:val="000000"/>
                <w:sz w:val="24"/>
                <w:szCs w:val="24"/>
              </w:rPr>
              <w:t>with lists of</w:t>
            </w:r>
            <w:r>
              <w:rPr>
                <w:b w:val="0"/>
                <w:color w:val="000000"/>
                <w:sz w:val="24"/>
                <w:szCs w:val="24"/>
              </w:rPr>
              <w:t xml:space="preserve"> strategies.  </w:t>
            </w:r>
          </w:p>
          <w:p w14:paraId="7D51C700" w14:textId="77777777" w:rsidR="00CB1DBC" w:rsidRDefault="00CB1DBC">
            <w:pPr>
              <w:jc w:val="center"/>
              <w:rPr>
                <w:color w:val="783F04"/>
                <w:sz w:val="32"/>
                <w:szCs w:val="32"/>
              </w:rPr>
            </w:pPr>
          </w:p>
        </w:tc>
      </w:tr>
      <w:tr w:rsidR="00CB1DBC" w14:paraId="0DAC1B85" w14:textId="77777777" w:rsidTr="000A5FE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000000"/>
              <w:left w:val="single" w:sz="4" w:space="0" w:color="000000"/>
            </w:tcBorders>
          </w:tcPr>
          <w:p w14:paraId="1C974880" w14:textId="77777777" w:rsidR="00CB1DBC" w:rsidRDefault="008C3989">
            <w:pPr>
              <w:rPr>
                <w:color w:val="404040"/>
                <w:sz w:val="28"/>
                <w:szCs w:val="28"/>
              </w:rPr>
            </w:pPr>
            <w:r>
              <w:rPr>
                <w:color w:val="404040"/>
                <w:sz w:val="28"/>
                <w:szCs w:val="28"/>
              </w:rPr>
              <w:t>Source</w:t>
            </w:r>
          </w:p>
        </w:tc>
        <w:tc>
          <w:tcPr>
            <w:tcW w:w="6498" w:type="dxa"/>
            <w:tcBorders>
              <w:top w:val="single" w:sz="4" w:space="0" w:color="000000"/>
              <w:right w:val="single" w:sz="4" w:space="0" w:color="000000"/>
            </w:tcBorders>
          </w:tcPr>
          <w:p w14:paraId="72C51463" w14:textId="77777777" w:rsidR="00CB1DBC" w:rsidRDefault="008C3989">
            <w:pPr>
              <w:cnfStyle w:val="000000100000" w:firstRow="0" w:lastRow="0" w:firstColumn="0" w:lastColumn="0" w:oddVBand="0" w:evenVBand="0" w:oddHBand="1" w:evenHBand="0" w:firstRowFirstColumn="0" w:firstRowLastColumn="0" w:lastRowFirstColumn="0" w:lastRowLastColumn="0"/>
              <w:rPr>
                <w:b/>
                <w:color w:val="404040"/>
                <w:sz w:val="28"/>
                <w:szCs w:val="28"/>
              </w:rPr>
            </w:pPr>
            <w:r>
              <w:rPr>
                <w:b/>
                <w:color w:val="404040"/>
                <w:sz w:val="28"/>
                <w:szCs w:val="28"/>
              </w:rPr>
              <w:t>Types of Strategies/Information</w:t>
            </w:r>
          </w:p>
        </w:tc>
      </w:tr>
      <w:tr w:rsidR="00CB1DBC" w14:paraId="4E1063FB" w14:textId="77777777" w:rsidTr="000A5FE4">
        <w:tc>
          <w:tcPr>
            <w:cnfStyle w:val="001000000000" w:firstRow="0" w:lastRow="0" w:firstColumn="1" w:lastColumn="0" w:oddVBand="0" w:evenVBand="0" w:oddHBand="0" w:evenHBand="0" w:firstRowFirstColumn="0" w:firstRowLastColumn="0" w:lastRowFirstColumn="0" w:lastRowLastColumn="0"/>
            <w:tcW w:w="3510" w:type="dxa"/>
            <w:tcBorders>
              <w:bottom w:val="single" w:sz="4" w:space="0" w:color="887952"/>
            </w:tcBorders>
            <w:shd w:val="clear" w:color="auto" w:fill="FFFFFF"/>
          </w:tcPr>
          <w:p w14:paraId="1EA8730B" w14:textId="77777777" w:rsidR="00CB1DBC" w:rsidRPr="008C3989" w:rsidRDefault="008C3989">
            <w:pPr>
              <w:rPr>
                <w:color w:val="0070C0"/>
                <w:sz w:val="24"/>
                <w:szCs w:val="24"/>
                <w:u w:val="single"/>
              </w:rPr>
            </w:pPr>
            <w:hyperlink r:id="rId8">
              <w:r w:rsidRPr="008C3989">
                <w:rPr>
                  <w:b w:val="0"/>
                  <w:color w:val="0070C0"/>
                  <w:sz w:val="24"/>
                  <w:szCs w:val="24"/>
                  <w:u w:val="single"/>
                </w:rPr>
                <w:t>Community Toolbox Chapter 23</w:t>
              </w:r>
            </w:hyperlink>
          </w:p>
        </w:tc>
        <w:tc>
          <w:tcPr>
            <w:tcW w:w="6498" w:type="dxa"/>
            <w:tcBorders>
              <w:bottom w:val="single" w:sz="4" w:space="0" w:color="887952"/>
            </w:tcBorders>
            <w:shd w:val="clear" w:color="auto" w:fill="FFFFFF"/>
          </w:tcPr>
          <w:p w14:paraId="3F52298A" w14:textId="77777777" w:rsidR="00CB1DBC" w:rsidRDefault="008C3989">
            <w:pPr>
              <w:cnfStyle w:val="000000000000" w:firstRow="0" w:lastRow="0" w:firstColumn="0" w:lastColumn="0" w:oddVBand="0" w:evenVBand="0" w:oddHBand="0" w:evenHBand="0" w:firstRowFirstColumn="0" w:firstRowLastColumn="0" w:lastRowFirstColumn="0" w:lastRowLastColumn="0"/>
              <w:rPr>
                <w:color w:val="262626"/>
                <w:sz w:val="24"/>
                <w:szCs w:val="24"/>
              </w:rPr>
            </w:pPr>
            <w:r>
              <w:rPr>
                <w:color w:val="000000"/>
                <w:sz w:val="24"/>
                <w:szCs w:val="24"/>
              </w:rPr>
              <w:t xml:space="preserve">Additional information on and examples of </w:t>
            </w:r>
            <w:r w:rsidRPr="008C3989">
              <w:rPr>
                <w:color w:val="761E28" w:themeColor="accent2" w:themeShade="BF"/>
                <w:sz w:val="24"/>
                <w:szCs w:val="24"/>
              </w:rPr>
              <w:t xml:space="preserve">modifying access, barriers and opportunities </w:t>
            </w:r>
            <w:r>
              <w:rPr>
                <w:color w:val="000000"/>
                <w:sz w:val="24"/>
                <w:szCs w:val="24"/>
              </w:rPr>
              <w:t xml:space="preserve">to services, products, practices, amenities, </w:t>
            </w:r>
            <w:proofErr w:type="gramStart"/>
            <w:r>
              <w:rPr>
                <w:color w:val="000000"/>
                <w:sz w:val="24"/>
                <w:szCs w:val="24"/>
              </w:rPr>
              <w:t>information</w:t>
            </w:r>
            <w:proofErr w:type="gramEnd"/>
            <w:r>
              <w:rPr>
                <w:color w:val="000000"/>
                <w:sz w:val="24"/>
                <w:szCs w:val="24"/>
              </w:rPr>
              <w:t xml:space="preserve"> and institutions. Examples of specific strategies are provided, including extending opportunities to the </w:t>
            </w:r>
            <w:proofErr w:type="gramStart"/>
            <w:r>
              <w:rPr>
                <w:color w:val="000000"/>
                <w:sz w:val="24"/>
                <w:szCs w:val="24"/>
              </w:rPr>
              <w:t>economically disadvantaged</w:t>
            </w:r>
            <w:proofErr w:type="gramEnd"/>
            <w:r>
              <w:rPr>
                <w:color w:val="000000"/>
                <w:sz w:val="24"/>
                <w:szCs w:val="24"/>
              </w:rPr>
              <w:t>, increasing access for people with physical disabilities, and using outreach to increase access.</w:t>
            </w:r>
          </w:p>
        </w:tc>
      </w:tr>
      <w:tr w:rsidR="00CB1DBC" w14:paraId="23174C22" w14:textId="77777777" w:rsidTr="000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887952"/>
              <w:bottom w:val="single" w:sz="4" w:space="0" w:color="887952"/>
            </w:tcBorders>
            <w:shd w:val="clear" w:color="auto" w:fill="FFFFFF"/>
          </w:tcPr>
          <w:p w14:paraId="65D86DA5" w14:textId="77777777" w:rsidR="00CB1DBC" w:rsidRPr="008C3989" w:rsidRDefault="008C3989">
            <w:pPr>
              <w:rPr>
                <w:color w:val="0070C0"/>
                <w:sz w:val="24"/>
                <w:szCs w:val="24"/>
                <w:u w:val="single"/>
              </w:rPr>
            </w:pPr>
            <w:hyperlink r:id="rId9">
              <w:r w:rsidRPr="008C3989">
                <w:rPr>
                  <w:b w:val="0"/>
                  <w:color w:val="0070C0"/>
                  <w:sz w:val="24"/>
                  <w:szCs w:val="24"/>
                  <w:u w:val="single"/>
                </w:rPr>
                <w:t>Community Toolbox Chapter 24</w:t>
              </w:r>
            </w:hyperlink>
          </w:p>
        </w:tc>
        <w:tc>
          <w:tcPr>
            <w:tcW w:w="6498" w:type="dxa"/>
            <w:tcBorders>
              <w:top w:val="single" w:sz="4" w:space="0" w:color="887952"/>
              <w:bottom w:val="single" w:sz="4" w:space="0" w:color="887952"/>
            </w:tcBorders>
            <w:shd w:val="clear" w:color="auto" w:fill="FFFFFF"/>
          </w:tcPr>
          <w:p w14:paraId="3AF34E80" w14:textId="77777777" w:rsidR="00CB1DBC" w:rsidRDefault="008C3989">
            <w:pPr>
              <w:cnfStyle w:val="000000100000" w:firstRow="0" w:lastRow="0" w:firstColumn="0" w:lastColumn="0" w:oddVBand="0" w:evenVBand="0" w:oddHBand="1" w:evenHBand="0" w:firstRowFirstColumn="0" w:firstRowLastColumn="0" w:lastRowFirstColumn="0" w:lastRowLastColumn="0"/>
              <w:rPr>
                <w:color w:val="262626"/>
                <w:sz w:val="24"/>
                <w:szCs w:val="24"/>
              </w:rPr>
            </w:pPr>
            <w:r>
              <w:rPr>
                <w:color w:val="000000"/>
                <w:sz w:val="24"/>
                <w:szCs w:val="24"/>
              </w:rPr>
              <w:t xml:space="preserve">Additional information on </w:t>
            </w:r>
            <w:r w:rsidRPr="008C3989">
              <w:rPr>
                <w:color w:val="761E28" w:themeColor="accent2" w:themeShade="BF"/>
                <w:sz w:val="24"/>
                <w:szCs w:val="24"/>
              </w:rPr>
              <w:t>developing and improving community services</w:t>
            </w:r>
            <w:r>
              <w:rPr>
                <w:color w:val="000000"/>
                <w:sz w:val="24"/>
                <w:szCs w:val="24"/>
              </w:rPr>
              <w:t xml:space="preserve">, including promoting coordination and collaboration among </w:t>
            </w:r>
            <w:proofErr w:type="gramStart"/>
            <w:r>
              <w:rPr>
                <w:color w:val="000000"/>
                <w:sz w:val="24"/>
                <w:szCs w:val="24"/>
              </w:rPr>
              <w:t>agencies</w:t>
            </w:r>
            <w:proofErr w:type="gramEnd"/>
            <w:r>
              <w:rPr>
                <w:color w:val="000000"/>
                <w:sz w:val="24"/>
                <w:szCs w:val="24"/>
              </w:rPr>
              <w:t xml:space="preserve"> and increasing access to health and community services. </w:t>
            </w:r>
          </w:p>
        </w:tc>
      </w:tr>
      <w:tr w:rsidR="00CB1DBC" w14:paraId="7B9AEA06" w14:textId="77777777" w:rsidTr="000A5FE4">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887952"/>
              <w:bottom w:val="single" w:sz="4" w:space="0" w:color="887952"/>
            </w:tcBorders>
            <w:shd w:val="clear" w:color="auto" w:fill="FFFFFF"/>
          </w:tcPr>
          <w:p w14:paraId="4FD080B4" w14:textId="77777777" w:rsidR="00CB1DBC" w:rsidRPr="008C3989" w:rsidRDefault="008C3989">
            <w:pPr>
              <w:rPr>
                <w:color w:val="0070C0"/>
                <w:sz w:val="24"/>
                <w:szCs w:val="24"/>
                <w:u w:val="single"/>
              </w:rPr>
            </w:pPr>
            <w:hyperlink r:id="rId10">
              <w:r w:rsidRPr="008C3989">
                <w:rPr>
                  <w:b w:val="0"/>
                  <w:color w:val="0070C0"/>
                  <w:sz w:val="24"/>
                  <w:szCs w:val="24"/>
                  <w:u w:val="single"/>
                </w:rPr>
                <w:t>Community Toolbox Chapter 20</w:t>
              </w:r>
            </w:hyperlink>
          </w:p>
        </w:tc>
        <w:tc>
          <w:tcPr>
            <w:tcW w:w="6498" w:type="dxa"/>
            <w:tcBorders>
              <w:top w:val="single" w:sz="4" w:space="0" w:color="887952"/>
              <w:bottom w:val="single" w:sz="4" w:space="0" w:color="887952"/>
            </w:tcBorders>
            <w:shd w:val="clear" w:color="auto" w:fill="FFFFFF"/>
          </w:tcPr>
          <w:p w14:paraId="0CE656C1" w14:textId="77777777" w:rsidR="00CB1DBC" w:rsidRDefault="008C3989">
            <w:pP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 xml:space="preserve">Examples of </w:t>
            </w:r>
            <w:r w:rsidRPr="008C3989">
              <w:rPr>
                <w:color w:val="761E28" w:themeColor="accent2" w:themeShade="BF"/>
                <w:sz w:val="24"/>
                <w:szCs w:val="24"/>
              </w:rPr>
              <w:t>communication and enhancing skills</w:t>
            </w:r>
            <w:r>
              <w:rPr>
                <w:color w:val="000000"/>
                <w:sz w:val="24"/>
                <w:szCs w:val="24"/>
              </w:rPr>
              <w:t>, including helping parents practice prevention with their children, implementing a neighborhood watch, and establishing youth organizations.</w:t>
            </w:r>
          </w:p>
        </w:tc>
      </w:tr>
      <w:tr w:rsidR="00CB1DBC" w14:paraId="18428936" w14:textId="77777777" w:rsidTr="000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887952"/>
              <w:bottom w:val="single" w:sz="4" w:space="0" w:color="887952"/>
            </w:tcBorders>
            <w:shd w:val="clear" w:color="auto" w:fill="FFFFFF"/>
          </w:tcPr>
          <w:p w14:paraId="0110E610" w14:textId="77777777" w:rsidR="00CB1DBC" w:rsidRPr="008C3989" w:rsidRDefault="008C3989">
            <w:pPr>
              <w:rPr>
                <w:color w:val="0070C0"/>
                <w:sz w:val="24"/>
                <w:szCs w:val="24"/>
                <w:u w:val="single"/>
              </w:rPr>
            </w:pPr>
            <w:hyperlink r:id="rId11">
              <w:r w:rsidRPr="008C3989">
                <w:rPr>
                  <w:b w:val="0"/>
                  <w:color w:val="0070C0"/>
                  <w:sz w:val="24"/>
                  <w:szCs w:val="24"/>
                  <w:u w:val="single"/>
                </w:rPr>
                <w:t>Community Toolbox Chapter 21</w:t>
              </w:r>
            </w:hyperlink>
          </w:p>
        </w:tc>
        <w:tc>
          <w:tcPr>
            <w:tcW w:w="6498" w:type="dxa"/>
            <w:tcBorders>
              <w:top w:val="single" w:sz="4" w:space="0" w:color="887952"/>
              <w:bottom w:val="single" w:sz="4" w:space="0" w:color="887952"/>
            </w:tcBorders>
            <w:shd w:val="clear" w:color="auto" w:fill="FFFFFF"/>
          </w:tcPr>
          <w:p w14:paraId="0056AD49" w14:textId="77777777" w:rsidR="00CB1DBC" w:rsidRDefault="008C3989">
            <w:pP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 xml:space="preserve">Examples of </w:t>
            </w:r>
            <w:r w:rsidRPr="008C3989">
              <w:rPr>
                <w:color w:val="761E28" w:themeColor="accent2" w:themeShade="BF"/>
                <w:sz w:val="24"/>
                <w:szCs w:val="24"/>
              </w:rPr>
              <w:t>enhancing support, incentives, and resources,</w:t>
            </w:r>
            <w:r w:rsidRPr="008C3989">
              <w:rPr>
                <w:color w:val="761E28" w:themeColor="accent2" w:themeShade="BF"/>
                <w:sz w:val="24"/>
                <w:szCs w:val="24"/>
              </w:rPr>
              <w:t xml:space="preserve"> </w:t>
            </w:r>
            <w:r>
              <w:rPr>
                <w:color w:val="000000"/>
                <w:sz w:val="24"/>
                <w:szCs w:val="24"/>
              </w:rPr>
              <w:t>including creating and facilitating peer support groups and developing a local time dollars program.</w:t>
            </w:r>
          </w:p>
        </w:tc>
      </w:tr>
      <w:tr w:rsidR="00CB1DBC" w14:paraId="7119A692" w14:textId="77777777" w:rsidTr="000A5FE4">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887952"/>
              <w:bottom w:val="single" w:sz="4" w:space="0" w:color="887952"/>
            </w:tcBorders>
            <w:shd w:val="clear" w:color="auto" w:fill="FFFFFF"/>
          </w:tcPr>
          <w:p w14:paraId="4B96AABA" w14:textId="77777777" w:rsidR="00CB1DBC" w:rsidRPr="008C3989" w:rsidRDefault="008C3989">
            <w:pPr>
              <w:rPr>
                <w:color w:val="0070C0"/>
                <w:sz w:val="24"/>
                <w:szCs w:val="24"/>
                <w:u w:val="single"/>
              </w:rPr>
            </w:pPr>
            <w:hyperlink r:id="rId12">
              <w:r w:rsidRPr="008C3989">
                <w:rPr>
                  <w:b w:val="0"/>
                  <w:color w:val="0070C0"/>
                  <w:sz w:val="24"/>
                  <w:szCs w:val="24"/>
                  <w:u w:val="single"/>
                </w:rPr>
                <w:t>Community Toolbox Chapter 25</w:t>
              </w:r>
            </w:hyperlink>
          </w:p>
        </w:tc>
        <w:tc>
          <w:tcPr>
            <w:tcW w:w="6498" w:type="dxa"/>
            <w:tcBorders>
              <w:top w:val="single" w:sz="4" w:space="0" w:color="887952"/>
              <w:bottom w:val="single" w:sz="4" w:space="0" w:color="887952"/>
            </w:tcBorders>
            <w:shd w:val="clear" w:color="auto" w:fill="FFFFFF"/>
          </w:tcPr>
          <w:p w14:paraId="6E20884B" w14:textId="77777777" w:rsidR="00CB1DBC" w:rsidRDefault="008C3989">
            <w:pPr>
              <w:cnfStyle w:val="000000000000" w:firstRow="0" w:lastRow="0" w:firstColumn="0" w:lastColumn="0" w:oddVBand="0" w:evenVBand="0" w:oddHBand="0" w:evenHBand="0" w:firstRowFirstColumn="0" w:firstRowLastColumn="0" w:lastRowFirstColumn="0" w:lastRowLastColumn="0"/>
              <w:rPr>
                <w:color w:val="262626"/>
                <w:sz w:val="24"/>
                <w:szCs w:val="24"/>
              </w:rPr>
            </w:pPr>
            <w:r>
              <w:rPr>
                <w:color w:val="000000"/>
                <w:sz w:val="24"/>
                <w:szCs w:val="24"/>
              </w:rPr>
              <w:t xml:space="preserve">Additional information on and examples of </w:t>
            </w:r>
            <w:r w:rsidRPr="008C3989">
              <w:rPr>
                <w:color w:val="761E28" w:themeColor="accent2" w:themeShade="BF"/>
                <w:sz w:val="24"/>
                <w:szCs w:val="24"/>
              </w:rPr>
              <w:t>changing policies</w:t>
            </w:r>
            <w:r>
              <w:rPr>
                <w:color w:val="000000"/>
                <w:sz w:val="24"/>
                <w:szCs w:val="24"/>
              </w:rPr>
              <w:t xml:space="preserve">. Examples of specific strategies are provided, including using tax incentives, promoting community-friendly policies in business and government, changing policies in schools, modifying policies to enhance quality of services, and changing policies to </w:t>
            </w:r>
            <w:r>
              <w:rPr>
                <w:color w:val="000000"/>
                <w:sz w:val="24"/>
                <w:szCs w:val="24"/>
              </w:rPr>
              <w:lastRenderedPageBreak/>
              <w:t>increase funding for community health and development initiatives.</w:t>
            </w:r>
          </w:p>
        </w:tc>
      </w:tr>
      <w:tr w:rsidR="00CB1DBC" w14:paraId="64C0B58A" w14:textId="77777777" w:rsidTr="000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887952"/>
              <w:bottom w:val="single" w:sz="4" w:space="0" w:color="887952"/>
            </w:tcBorders>
            <w:shd w:val="clear" w:color="auto" w:fill="FFFFFF"/>
          </w:tcPr>
          <w:p w14:paraId="00181CAA" w14:textId="77777777" w:rsidR="00CB1DBC" w:rsidRPr="008C3989" w:rsidRDefault="008C3989">
            <w:pPr>
              <w:rPr>
                <w:color w:val="0070C0"/>
                <w:sz w:val="24"/>
                <w:szCs w:val="24"/>
                <w:u w:val="single"/>
              </w:rPr>
            </w:pPr>
            <w:hyperlink r:id="rId13">
              <w:r w:rsidRPr="008C3989">
                <w:rPr>
                  <w:b w:val="0"/>
                  <w:color w:val="0070C0"/>
                  <w:sz w:val="24"/>
                  <w:szCs w:val="24"/>
                  <w:u w:val="single"/>
                </w:rPr>
                <w:t>Community Toolbox Chapter 26</w:t>
              </w:r>
            </w:hyperlink>
          </w:p>
        </w:tc>
        <w:tc>
          <w:tcPr>
            <w:tcW w:w="6498" w:type="dxa"/>
            <w:tcBorders>
              <w:top w:val="single" w:sz="4" w:space="0" w:color="887952"/>
              <w:bottom w:val="single" w:sz="4" w:space="0" w:color="887952"/>
            </w:tcBorders>
            <w:shd w:val="clear" w:color="auto" w:fill="FFFFFF"/>
          </w:tcPr>
          <w:p w14:paraId="38104F58" w14:textId="77777777" w:rsidR="00CB1DBC" w:rsidRDefault="008C3989">
            <w:pPr>
              <w:cnfStyle w:val="000000100000" w:firstRow="0" w:lastRow="0" w:firstColumn="0" w:lastColumn="0" w:oddVBand="0" w:evenVBand="0" w:oddHBand="1" w:evenHBand="0" w:firstRowFirstColumn="0" w:firstRowLastColumn="0" w:lastRowFirstColumn="0" w:lastRowLastColumn="0"/>
              <w:rPr>
                <w:color w:val="262626"/>
                <w:sz w:val="24"/>
                <w:szCs w:val="24"/>
              </w:rPr>
            </w:pPr>
            <w:r>
              <w:rPr>
                <w:color w:val="000000"/>
                <w:sz w:val="24"/>
                <w:szCs w:val="24"/>
              </w:rPr>
              <w:t xml:space="preserve">Additional information on and examples of changing the </w:t>
            </w:r>
            <w:r w:rsidRPr="008C3989">
              <w:rPr>
                <w:color w:val="761E28" w:themeColor="accent2" w:themeShade="BF"/>
                <w:sz w:val="24"/>
                <w:szCs w:val="24"/>
              </w:rPr>
              <w:t>physical and social environment</w:t>
            </w:r>
            <w:r>
              <w:rPr>
                <w:color w:val="000000"/>
                <w:sz w:val="24"/>
                <w:szCs w:val="24"/>
              </w:rPr>
              <w:t>. Examples include improving the quality and affordability of housing, ensuring access for people with disabilities, improving parks and other community facilities, creating good places for interaction, protecting environmental quality, establishing neighborhood beautification programs, and promoting neighborhood action.</w:t>
            </w:r>
          </w:p>
        </w:tc>
      </w:tr>
      <w:tr w:rsidR="00CB1DBC" w14:paraId="5A348813" w14:textId="77777777" w:rsidTr="000A5FE4">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887952"/>
              <w:bottom w:val="single" w:sz="4" w:space="0" w:color="887952"/>
            </w:tcBorders>
            <w:shd w:val="clear" w:color="auto" w:fill="FFFFFF"/>
          </w:tcPr>
          <w:p w14:paraId="50015D0D" w14:textId="77777777" w:rsidR="00CB1DBC" w:rsidRPr="008C3989" w:rsidRDefault="008C3989">
            <w:pPr>
              <w:rPr>
                <w:color w:val="0070C0"/>
                <w:sz w:val="24"/>
                <w:szCs w:val="24"/>
                <w:u w:val="single"/>
              </w:rPr>
            </w:pPr>
            <w:hyperlink r:id="rId14">
              <w:r w:rsidRPr="008C3989">
                <w:rPr>
                  <w:b w:val="0"/>
                  <w:color w:val="0070C0"/>
                  <w:sz w:val="24"/>
                  <w:szCs w:val="24"/>
                  <w:u w:val="single"/>
                </w:rPr>
                <w:t>Blueprints for Healthy Youth Development</w:t>
              </w:r>
            </w:hyperlink>
          </w:p>
        </w:tc>
        <w:tc>
          <w:tcPr>
            <w:tcW w:w="6498" w:type="dxa"/>
            <w:tcBorders>
              <w:top w:val="single" w:sz="4" w:space="0" w:color="887952"/>
              <w:bottom w:val="single" w:sz="4" w:space="0" w:color="887952"/>
            </w:tcBorders>
            <w:shd w:val="clear" w:color="auto" w:fill="FFFFFF"/>
          </w:tcPr>
          <w:p w14:paraId="5F5BA778" w14:textId="77777777" w:rsidR="00CB1DBC" w:rsidRDefault="008C3989">
            <w:pPr>
              <w:cnfStyle w:val="000000000000" w:firstRow="0" w:lastRow="0" w:firstColumn="0" w:lastColumn="0" w:oddVBand="0" w:evenVBand="0" w:oddHBand="0" w:evenHBand="0" w:firstRowFirstColumn="0" w:firstRowLastColumn="0" w:lastRowFirstColumn="0" w:lastRowLastColumn="0"/>
              <w:rPr>
                <w:color w:val="262626"/>
                <w:sz w:val="24"/>
                <w:szCs w:val="24"/>
              </w:rPr>
            </w:pPr>
            <w:r>
              <w:rPr>
                <w:color w:val="262626"/>
                <w:sz w:val="24"/>
                <w:szCs w:val="24"/>
              </w:rPr>
              <w:t xml:space="preserve">A </w:t>
            </w:r>
            <w:r w:rsidRPr="008C3989">
              <w:rPr>
                <w:color w:val="761E28" w:themeColor="accent2" w:themeShade="BF"/>
                <w:sz w:val="24"/>
                <w:szCs w:val="24"/>
              </w:rPr>
              <w:t>comprehensive registry of youth focused evidenced-based and scalable interventions</w:t>
            </w:r>
            <w:r w:rsidRPr="008C3989">
              <w:rPr>
                <w:b/>
                <w:color w:val="761E28" w:themeColor="accent2" w:themeShade="BF"/>
                <w:sz w:val="24"/>
                <w:szCs w:val="24"/>
              </w:rPr>
              <w:t xml:space="preserve"> </w:t>
            </w:r>
            <w:r>
              <w:rPr>
                <w:color w:val="262626"/>
                <w:sz w:val="24"/>
                <w:szCs w:val="24"/>
              </w:rPr>
              <w:t>that prevent or reduce the likelihood of antisocial behavior and promote a health course of youth development and adult maturity. Search by program outcomes, target population, risk and protective factors, or program type/setting/continuum of intervention.</w:t>
            </w:r>
          </w:p>
        </w:tc>
      </w:tr>
      <w:tr w:rsidR="00284F42" w14:paraId="5403ACCC" w14:textId="77777777" w:rsidTr="00D71303">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887952"/>
              <w:bottom w:val="single" w:sz="4" w:space="0" w:color="C19859"/>
            </w:tcBorders>
            <w:shd w:val="clear" w:color="auto" w:fill="FFFFFF"/>
          </w:tcPr>
          <w:p w14:paraId="60B99ECD" w14:textId="77777777" w:rsidR="00284F42" w:rsidRPr="008C3989" w:rsidRDefault="008C3989" w:rsidP="00D71303">
            <w:pPr>
              <w:rPr>
                <w:color w:val="0070C0"/>
                <w:sz w:val="24"/>
                <w:szCs w:val="24"/>
                <w:u w:val="single"/>
              </w:rPr>
            </w:pPr>
            <w:hyperlink r:id="rId15">
              <w:r w:rsidR="00284F42" w:rsidRPr="008C3989">
                <w:rPr>
                  <w:b w:val="0"/>
                  <w:color w:val="0070C0"/>
                  <w:sz w:val="24"/>
                  <w:szCs w:val="24"/>
                  <w:u w:val="single"/>
                </w:rPr>
                <w:t>Results First Clearinghouse</w:t>
              </w:r>
            </w:hyperlink>
            <w:r w:rsidR="00284F42" w:rsidRPr="008C3989">
              <w:rPr>
                <w:color w:val="0070C0"/>
                <w:sz w:val="24"/>
                <w:szCs w:val="24"/>
                <w:u w:val="single"/>
              </w:rPr>
              <w:t xml:space="preserve"> </w:t>
            </w:r>
          </w:p>
        </w:tc>
        <w:tc>
          <w:tcPr>
            <w:tcW w:w="6498" w:type="dxa"/>
            <w:tcBorders>
              <w:top w:val="single" w:sz="4" w:space="0" w:color="887952"/>
              <w:bottom w:val="single" w:sz="4" w:space="0" w:color="C19859"/>
            </w:tcBorders>
            <w:shd w:val="clear" w:color="auto" w:fill="FFFFFF"/>
          </w:tcPr>
          <w:p w14:paraId="4C0E19E1" w14:textId="77777777" w:rsidR="00284F42" w:rsidRDefault="00284F42" w:rsidP="00D71303">
            <w:pPr>
              <w:tabs>
                <w:tab w:val="left" w:pos="1536"/>
              </w:tabs>
              <w:cnfStyle w:val="000000100000" w:firstRow="0" w:lastRow="0" w:firstColumn="0" w:lastColumn="0" w:oddVBand="0" w:evenVBand="0" w:oddHBand="1" w:evenHBand="0" w:firstRowFirstColumn="0" w:firstRowLastColumn="0" w:lastRowFirstColumn="0" w:lastRowLastColumn="0"/>
              <w:rPr>
                <w:color w:val="262626"/>
                <w:sz w:val="24"/>
                <w:szCs w:val="24"/>
              </w:rPr>
            </w:pPr>
            <w:r>
              <w:rPr>
                <w:color w:val="434343"/>
                <w:sz w:val="24"/>
                <w:szCs w:val="24"/>
                <w:highlight w:val="white"/>
              </w:rPr>
              <w:t xml:space="preserve">The Results First Clearinghouse Database is an online resource that brings together </w:t>
            </w:r>
            <w:r w:rsidRPr="008C3989">
              <w:rPr>
                <w:color w:val="761E28" w:themeColor="accent2" w:themeShade="BF"/>
                <w:sz w:val="24"/>
                <w:szCs w:val="24"/>
                <w:highlight w:val="white"/>
              </w:rPr>
              <w:t>information on the effectiveness of social policy programs</w:t>
            </w:r>
            <w:r>
              <w:rPr>
                <w:color w:val="434343"/>
                <w:sz w:val="24"/>
                <w:szCs w:val="24"/>
                <w:highlight w:val="white"/>
              </w:rPr>
              <w:t xml:space="preserve"> from nine national clearinghouses. It uses a color-coded system to easily access and understand the evidence base for a variety of programs.</w:t>
            </w:r>
          </w:p>
        </w:tc>
      </w:tr>
      <w:tr w:rsidR="00CB1DBC" w14:paraId="7D6F6A72" w14:textId="77777777" w:rsidTr="000A5FE4">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887952"/>
              <w:bottom w:val="single" w:sz="4" w:space="0" w:color="887952"/>
            </w:tcBorders>
            <w:shd w:val="clear" w:color="auto" w:fill="FFFFFF"/>
          </w:tcPr>
          <w:p w14:paraId="2C5526CE" w14:textId="77777777" w:rsidR="00CB1DBC" w:rsidRPr="008C3989" w:rsidRDefault="008C3989">
            <w:pPr>
              <w:rPr>
                <w:color w:val="0070C0"/>
                <w:sz w:val="24"/>
                <w:szCs w:val="24"/>
                <w:u w:val="single"/>
              </w:rPr>
            </w:pPr>
            <w:hyperlink r:id="rId16">
              <w:r w:rsidRPr="008C3989">
                <w:rPr>
                  <w:b w:val="0"/>
                  <w:color w:val="0070C0"/>
                  <w:sz w:val="24"/>
                  <w:szCs w:val="24"/>
                  <w:u w:val="single"/>
                </w:rPr>
                <w:t>The Community Guide</w:t>
              </w:r>
            </w:hyperlink>
          </w:p>
        </w:tc>
        <w:tc>
          <w:tcPr>
            <w:tcW w:w="6498" w:type="dxa"/>
            <w:tcBorders>
              <w:top w:val="single" w:sz="4" w:space="0" w:color="887952"/>
              <w:bottom w:val="single" w:sz="4" w:space="0" w:color="887952"/>
            </w:tcBorders>
            <w:shd w:val="clear" w:color="auto" w:fill="FFFFFF"/>
          </w:tcPr>
          <w:p w14:paraId="59BE87DF" w14:textId="77777777" w:rsidR="00CB1DBC" w:rsidRDefault="008C3989">
            <w:pPr>
              <w:cnfStyle w:val="000000000000" w:firstRow="0" w:lastRow="0" w:firstColumn="0" w:lastColumn="0" w:oddVBand="0" w:evenVBand="0" w:oddHBand="0" w:evenHBand="0" w:firstRowFirstColumn="0" w:firstRowLastColumn="0" w:lastRowFirstColumn="0" w:lastRowLastColumn="0"/>
              <w:rPr>
                <w:color w:val="262626"/>
                <w:sz w:val="24"/>
                <w:szCs w:val="24"/>
              </w:rPr>
            </w:pPr>
            <w:r>
              <w:rPr>
                <w:color w:val="262626"/>
                <w:sz w:val="24"/>
                <w:szCs w:val="24"/>
              </w:rPr>
              <w:t xml:space="preserve">A </w:t>
            </w:r>
            <w:r w:rsidRPr="008C3989">
              <w:rPr>
                <w:color w:val="761E28" w:themeColor="accent2" w:themeShade="BF"/>
                <w:sz w:val="24"/>
                <w:szCs w:val="24"/>
              </w:rPr>
              <w:t>collection of findings and recommendations from the Community Preventive Services Task Force</w:t>
            </w:r>
            <w:r>
              <w:rPr>
                <w:color w:val="262626"/>
                <w:sz w:val="24"/>
                <w:szCs w:val="24"/>
              </w:rPr>
              <w:t>. Search by topic (such as obesity, asthma, nutrition, mental health, alcohol use) to find what strategies have worked (and not worked) with which populations and settings, what they might cost, and what to expect for outcomes.</w:t>
            </w:r>
          </w:p>
        </w:tc>
      </w:tr>
      <w:tr w:rsidR="00CB1DBC" w14:paraId="5B4032B6" w14:textId="77777777" w:rsidTr="000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887952"/>
              <w:bottom w:val="single" w:sz="4" w:space="0" w:color="887952"/>
            </w:tcBorders>
            <w:shd w:val="clear" w:color="auto" w:fill="FFFFFF"/>
          </w:tcPr>
          <w:p w14:paraId="3653A1F5" w14:textId="77777777" w:rsidR="00CB1DBC" w:rsidRPr="008C3989" w:rsidRDefault="008C3989">
            <w:pPr>
              <w:rPr>
                <w:color w:val="0070C0"/>
                <w:sz w:val="24"/>
                <w:szCs w:val="24"/>
                <w:u w:val="single"/>
              </w:rPr>
            </w:pPr>
            <w:hyperlink r:id="rId17">
              <w:r w:rsidRPr="008C3989">
                <w:rPr>
                  <w:b w:val="0"/>
                  <w:color w:val="0070C0"/>
                  <w:sz w:val="24"/>
                  <w:szCs w:val="24"/>
                  <w:u w:val="single"/>
                </w:rPr>
                <w:t>Healthy People 2020</w:t>
              </w:r>
            </w:hyperlink>
          </w:p>
        </w:tc>
        <w:tc>
          <w:tcPr>
            <w:tcW w:w="6498" w:type="dxa"/>
            <w:tcBorders>
              <w:top w:val="single" w:sz="4" w:space="0" w:color="887952"/>
              <w:bottom w:val="single" w:sz="4" w:space="0" w:color="887952"/>
            </w:tcBorders>
            <w:shd w:val="clear" w:color="auto" w:fill="FFFFFF"/>
          </w:tcPr>
          <w:p w14:paraId="4179084C" w14:textId="77777777" w:rsidR="00CB1DBC" w:rsidRDefault="008C3989">
            <w:pPr>
              <w:cnfStyle w:val="000000100000" w:firstRow="0" w:lastRow="0" w:firstColumn="0" w:lastColumn="0" w:oddVBand="0" w:evenVBand="0" w:oddHBand="1" w:evenHBand="0" w:firstRowFirstColumn="0" w:firstRowLastColumn="0" w:lastRowFirstColumn="0" w:lastRowLastColumn="0"/>
              <w:rPr>
                <w:color w:val="262626"/>
                <w:sz w:val="24"/>
                <w:szCs w:val="24"/>
              </w:rPr>
            </w:pPr>
            <w:r>
              <w:rPr>
                <w:color w:val="262626"/>
                <w:sz w:val="24"/>
                <w:szCs w:val="24"/>
              </w:rPr>
              <w:t xml:space="preserve">A </w:t>
            </w:r>
            <w:r w:rsidRPr="008C3989">
              <w:rPr>
                <w:color w:val="761E28" w:themeColor="accent2" w:themeShade="BF"/>
                <w:sz w:val="24"/>
                <w:szCs w:val="24"/>
              </w:rPr>
              <w:t>database of evidenced-based resources and strategies</w:t>
            </w:r>
            <w:r w:rsidRPr="008C3989">
              <w:rPr>
                <w:color w:val="761E28" w:themeColor="accent2" w:themeShade="BF"/>
                <w:sz w:val="24"/>
                <w:szCs w:val="24"/>
              </w:rPr>
              <w:t xml:space="preserve"> </w:t>
            </w:r>
            <w:r>
              <w:rPr>
                <w:color w:val="262626"/>
                <w:sz w:val="24"/>
                <w:szCs w:val="24"/>
              </w:rPr>
              <w:t xml:space="preserve">searchable by Healthy People 2020 topic areas (such as sleep health, physical activity, social determinants of health, adolescent health, etc.) as well as by criteria such as age ranges, population group, intervention type, etc. Note this was archived as of April 2022 and is no longer updated. </w:t>
            </w:r>
          </w:p>
        </w:tc>
      </w:tr>
      <w:tr w:rsidR="00CB1DBC" w14:paraId="453C42BC" w14:textId="77777777" w:rsidTr="000A5FE4">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887952"/>
              <w:bottom w:val="single" w:sz="4" w:space="0" w:color="887952"/>
            </w:tcBorders>
            <w:shd w:val="clear" w:color="auto" w:fill="FFFFFF"/>
          </w:tcPr>
          <w:p w14:paraId="48E6478F" w14:textId="77777777" w:rsidR="00CB1DBC" w:rsidRPr="008C3989" w:rsidRDefault="008C3989">
            <w:pPr>
              <w:rPr>
                <w:color w:val="0070C0"/>
                <w:sz w:val="24"/>
                <w:szCs w:val="24"/>
                <w:u w:val="single"/>
              </w:rPr>
            </w:pPr>
            <w:hyperlink r:id="rId18">
              <w:r w:rsidRPr="008C3989">
                <w:rPr>
                  <w:b w:val="0"/>
                  <w:color w:val="0070C0"/>
                  <w:sz w:val="24"/>
                  <w:szCs w:val="24"/>
                  <w:u w:val="single"/>
                </w:rPr>
                <w:t>National Prevention Strategy</w:t>
              </w:r>
            </w:hyperlink>
          </w:p>
        </w:tc>
        <w:tc>
          <w:tcPr>
            <w:tcW w:w="6498" w:type="dxa"/>
            <w:tcBorders>
              <w:top w:val="single" w:sz="4" w:space="0" w:color="887952"/>
              <w:bottom w:val="single" w:sz="4" w:space="0" w:color="887952"/>
            </w:tcBorders>
            <w:shd w:val="clear" w:color="auto" w:fill="FFFFFF"/>
          </w:tcPr>
          <w:p w14:paraId="455411D0" w14:textId="77777777" w:rsidR="00CB1DBC" w:rsidRDefault="008C3989">
            <w:pPr>
              <w:cnfStyle w:val="000000000000" w:firstRow="0" w:lastRow="0" w:firstColumn="0" w:lastColumn="0" w:oddVBand="0" w:evenVBand="0" w:oddHBand="0" w:evenHBand="0" w:firstRowFirstColumn="0" w:firstRowLastColumn="0" w:lastRowFirstColumn="0" w:lastRowLastColumn="0"/>
              <w:rPr>
                <w:color w:val="262626"/>
                <w:sz w:val="24"/>
                <w:szCs w:val="24"/>
              </w:rPr>
            </w:pPr>
            <w:r>
              <w:rPr>
                <w:color w:val="262626"/>
                <w:sz w:val="24"/>
                <w:szCs w:val="24"/>
              </w:rPr>
              <w:t xml:space="preserve">A </w:t>
            </w:r>
            <w:r w:rsidRPr="008C3989">
              <w:rPr>
                <w:color w:val="761E28" w:themeColor="accent2" w:themeShade="BF"/>
                <w:sz w:val="24"/>
                <w:szCs w:val="24"/>
              </w:rPr>
              <w:t>document outlining recommendations for addressing national prevention strategy priorities</w:t>
            </w:r>
            <w:r w:rsidRPr="008C3989">
              <w:rPr>
                <w:color w:val="761E28" w:themeColor="accent2" w:themeShade="BF"/>
                <w:sz w:val="24"/>
                <w:szCs w:val="24"/>
              </w:rPr>
              <w:t xml:space="preserve"> </w:t>
            </w:r>
            <w:proofErr w:type="gramStart"/>
            <w:r>
              <w:rPr>
                <w:color w:val="262626"/>
                <w:sz w:val="24"/>
                <w:szCs w:val="24"/>
              </w:rPr>
              <w:t>including:</w:t>
            </w:r>
            <w:proofErr w:type="gramEnd"/>
            <w:r>
              <w:rPr>
                <w:color w:val="262626"/>
                <w:sz w:val="24"/>
                <w:szCs w:val="24"/>
              </w:rPr>
              <w:t xml:space="preserve"> tobacco free living, preventing drug abuse and excessive alcohol use, healthy eating, active living, injury and violence free living, reproductive and sexual health, and mental and emotional well-being. </w:t>
            </w:r>
          </w:p>
        </w:tc>
      </w:tr>
      <w:tr w:rsidR="00CB1DBC" w14:paraId="659BFBD0" w14:textId="77777777" w:rsidTr="000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887952"/>
              <w:bottom w:val="single" w:sz="4" w:space="0" w:color="887952"/>
            </w:tcBorders>
            <w:shd w:val="clear" w:color="auto" w:fill="FFFFFF"/>
          </w:tcPr>
          <w:p w14:paraId="33D90EE6" w14:textId="77777777" w:rsidR="00CB1DBC" w:rsidRPr="008C3989" w:rsidRDefault="008C3989">
            <w:pPr>
              <w:rPr>
                <w:color w:val="0070C0"/>
                <w:sz w:val="24"/>
                <w:szCs w:val="24"/>
                <w:u w:val="single"/>
              </w:rPr>
            </w:pPr>
            <w:hyperlink r:id="rId19">
              <w:r w:rsidRPr="008C3989">
                <w:rPr>
                  <w:b w:val="0"/>
                  <w:color w:val="0070C0"/>
                  <w:sz w:val="24"/>
                  <w:szCs w:val="24"/>
                  <w:u w:val="single"/>
                </w:rPr>
                <w:t>CDC Prevention Status Reports</w:t>
              </w:r>
            </w:hyperlink>
          </w:p>
        </w:tc>
        <w:tc>
          <w:tcPr>
            <w:tcW w:w="6498" w:type="dxa"/>
            <w:tcBorders>
              <w:top w:val="single" w:sz="4" w:space="0" w:color="887952"/>
              <w:bottom w:val="single" w:sz="4" w:space="0" w:color="887952"/>
            </w:tcBorders>
            <w:shd w:val="clear" w:color="auto" w:fill="FFFFFF"/>
          </w:tcPr>
          <w:p w14:paraId="291D56E9" w14:textId="77777777" w:rsidR="00CB1DBC" w:rsidRDefault="008C3989">
            <w:pPr>
              <w:cnfStyle w:val="000000100000" w:firstRow="0" w:lastRow="0" w:firstColumn="0" w:lastColumn="0" w:oddVBand="0" w:evenVBand="0" w:oddHBand="1" w:evenHBand="0" w:firstRowFirstColumn="0" w:firstRowLastColumn="0" w:lastRowFirstColumn="0" w:lastRowLastColumn="0"/>
              <w:rPr>
                <w:color w:val="262626"/>
                <w:sz w:val="24"/>
                <w:szCs w:val="24"/>
              </w:rPr>
            </w:pPr>
            <w:r>
              <w:rPr>
                <w:color w:val="262626"/>
                <w:sz w:val="24"/>
                <w:szCs w:val="24"/>
              </w:rPr>
              <w:t xml:space="preserve">PSRs highlight </w:t>
            </w:r>
            <w:r w:rsidRPr="008C3989">
              <w:rPr>
                <w:color w:val="761E28" w:themeColor="accent2" w:themeShade="BF"/>
                <w:sz w:val="24"/>
                <w:szCs w:val="24"/>
              </w:rPr>
              <w:t xml:space="preserve">the status of various public health policies and practices focused </w:t>
            </w:r>
            <w:r>
              <w:rPr>
                <w:color w:val="262626"/>
                <w:sz w:val="24"/>
                <w:szCs w:val="24"/>
              </w:rPr>
              <w:t>on: excessive alcohol use, food safety, motor vehicle injuries, healthcare-associated infections, prescription drug overdose, heart disease and stroke, teen pregnancy, HIV, tobacco use, and nutrition, physical activity, and obesity.</w:t>
            </w:r>
          </w:p>
        </w:tc>
      </w:tr>
      <w:tr w:rsidR="00CB1DBC" w14:paraId="6AD645F9" w14:textId="77777777" w:rsidTr="000A5FE4">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887952"/>
              <w:bottom w:val="single" w:sz="4" w:space="0" w:color="887952"/>
            </w:tcBorders>
            <w:shd w:val="clear" w:color="auto" w:fill="FFFFFF"/>
          </w:tcPr>
          <w:p w14:paraId="2C184C3B" w14:textId="77777777" w:rsidR="00CB1DBC" w:rsidRPr="008C3989" w:rsidRDefault="008C3989">
            <w:pPr>
              <w:rPr>
                <w:color w:val="0070C0"/>
                <w:sz w:val="24"/>
                <w:szCs w:val="24"/>
                <w:u w:val="single"/>
              </w:rPr>
            </w:pPr>
            <w:hyperlink r:id="rId20" w:anchor="a">
              <w:r w:rsidRPr="008C3989">
                <w:rPr>
                  <w:b w:val="0"/>
                  <w:color w:val="0070C0"/>
                  <w:sz w:val="24"/>
                  <w:szCs w:val="24"/>
                  <w:u w:val="single"/>
                </w:rPr>
                <w:t>CDC Health Topics</w:t>
              </w:r>
            </w:hyperlink>
          </w:p>
        </w:tc>
        <w:tc>
          <w:tcPr>
            <w:tcW w:w="6498" w:type="dxa"/>
            <w:tcBorders>
              <w:top w:val="single" w:sz="4" w:space="0" w:color="887952"/>
              <w:bottom w:val="single" w:sz="4" w:space="0" w:color="887952"/>
            </w:tcBorders>
            <w:shd w:val="clear" w:color="auto" w:fill="FFFFFF"/>
          </w:tcPr>
          <w:p w14:paraId="3B313BF7" w14:textId="77777777" w:rsidR="00CB1DBC" w:rsidRDefault="008C3989">
            <w:pPr>
              <w:cnfStyle w:val="000000000000" w:firstRow="0" w:lastRow="0" w:firstColumn="0" w:lastColumn="0" w:oddVBand="0" w:evenVBand="0" w:oddHBand="0" w:evenHBand="0" w:firstRowFirstColumn="0" w:firstRowLastColumn="0" w:lastRowFirstColumn="0" w:lastRowLastColumn="0"/>
              <w:rPr>
                <w:color w:val="262626"/>
                <w:sz w:val="24"/>
                <w:szCs w:val="24"/>
              </w:rPr>
            </w:pPr>
            <w:r>
              <w:rPr>
                <w:color w:val="262626"/>
                <w:sz w:val="24"/>
                <w:szCs w:val="24"/>
              </w:rPr>
              <w:t xml:space="preserve">CDC Health Topic pages (searchable for diseases and health conditions, healthy living, workplace safety, environmental health, injury, </w:t>
            </w:r>
            <w:proofErr w:type="gramStart"/>
            <w:r>
              <w:rPr>
                <w:color w:val="262626"/>
                <w:sz w:val="24"/>
                <w:szCs w:val="24"/>
              </w:rPr>
              <w:t>violence</w:t>
            </w:r>
            <w:proofErr w:type="gramEnd"/>
            <w:r>
              <w:rPr>
                <w:color w:val="262626"/>
                <w:sz w:val="24"/>
                <w:szCs w:val="24"/>
              </w:rPr>
              <w:t xml:space="preserve"> and safety, etc.) </w:t>
            </w:r>
            <w:r w:rsidRPr="008C3989">
              <w:rPr>
                <w:color w:val="761E28" w:themeColor="accent2" w:themeShade="BF"/>
                <w:sz w:val="24"/>
                <w:szCs w:val="24"/>
              </w:rPr>
              <w:t>provide information including data and current understanding of causes, treatment, and prevention</w:t>
            </w:r>
            <w:r w:rsidRPr="008C3989">
              <w:rPr>
                <w:color w:val="auto"/>
                <w:sz w:val="24"/>
                <w:szCs w:val="24"/>
              </w:rPr>
              <w:t>.</w:t>
            </w:r>
            <w:r>
              <w:rPr>
                <w:color w:val="262626"/>
                <w:sz w:val="24"/>
                <w:szCs w:val="24"/>
              </w:rPr>
              <w:t xml:space="preserve"> This is a good overall “one stop shop” with links to additional resources.   </w:t>
            </w:r>
          </w:p>
        </w:tc>
      </w:tr>
      <w:tr w:rsidR="00CB1DBC" w14:paraId="2A4EF85A" w14:textId="77777777" w:rsidTr="000A5FE4">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887952"/>
              <w:bottom w:val="single" w:sz="4" w:space="0" w:color="887952"/>
            </w:tcBorders>
            <w:shd w:val="clear" w:color="auto" w:fill="FFFFFF"/>
          </w:tcPr>
          <w:p w14:paraId="39475A18" w14:textId="77777777" w:rsidR="00CB1DBC" w:rsidRPr="008C3989" w:rsidRDefault="008C3989">
            <w:pPr>
              <w:rPr>
                <w:color w:val="0070C0"/>
                <w:sz w:val="24"/>
                <w:szCs w:val="24"/>
                <w:u w:val="single"/>
              </w:rPr>
            </w:pPr>
            <w:hyperlink r:id="rId21">
              <w:r w:rsidRPr="008C3989">
                <w:rPr>
                  <w:b w:val="0"/>
                  <w:color w:val="0070C0"/>
                  <w:sz w:val="24"/>
                  <w:szCs w:val="24"/>
                  <w:u w:val="single"/>
                </w:rPr>
                <w:t>A Compendium of Proven Community-Based Prevention Programs</w:t>
              </w:r>
            </w:hyperlink>
          </w:p>
        </w:tc>
        <w:tc>
          <w:tcPr>
            <w:tcW w:w="6498" w:type="dxa"/>
            <w:tcBorders>
              <w:top w:val="single" w:sz="4" w:space="0" w:color="887952"/>
              <w:bottom w:val="single" w:sz="4" w:space="0" w:color="887952"/>
            </w:tcBorders>
            <w:shd w:val="clear" w:color="auto" w:fill="FFFFFF"/>
          </w:tcPr>
          <w:p w14:paraId="01580F48" w14:textId="77777777" w:rsidR="00CB1DBC" w:rsidRDefault="008C3989">
            <w:pPr>
              <w:cnfStyle w:val="000000100000" w:firstRow="0" w:lastRow="0" w:firstColumn="0" w:lastColumn="0" w:oddVBand="0" w:evenVBand="0" w:oddHBand="1" w:evenHBand="0" w:firstRowFirstColumn="0" w:firstRowLastColumn="0" w:lastRowFirstColumn="0" w:lastRowLastColumn="0"/>
              <w:rPr>
                <w:color w:val="262626"/>
                <w:sz w:val="24"/>
                <w:szCs w:val="24"/>
              </w:rPr>
            </w:pPr>
            <w:r>
              <w:rPr>
                <w:color w:val="262626"/>
                <w:sz w:val="24"/>
                <w:szCs w:val="24"/>
              </w:rPr>
              <w:t xml:space="preserve">Produced by the Trust for America’s Health and New York Academy of Medicine, this resource </w:t>
            </w:r>
            <w:r w:rsidRPr="008C3989">
              <w:rPr>
                <w:color w:val="761E28" w:themeColor="accent2" w:themeShade="BF"/>
                <w:sz w:val="24"/>
                <w:szCs w:val="24"/>
              </w:rPr>
              <w:t>highlights evidenced-based prevention programs for disease and injury prevention</w:t>
            </w:r>
            <w:r w:rsidRPr="008C3989">
              <w:rPr>
                <w:color w:val="761E28" w:themeColor="accent2" w:themeShade="BF"/>
                <w:sz w:val="24"/>
                <w:szCs w:val="24"/>
              </w:rPr>
              <w:t xml:space="preserve"> </w:t>
            </w:r>
            <w:r>
              <w:rPr>
                <w:color w:val="262626"/>
                <w:sz w:val="24"/>
                <w:szCs w:val="24"/>
              </w:rPr>
              <w:t>around: cardiovascular disease; stroke and diabetes; asthma; sexually transmitted infections; injury and violence; tobacco use; and alcohol use.</w:t>
            </w:r>
          </w:p>
        </w:tc>
      </w:tr>
      <w:tr w:rsidR="00CB1DBC" w14:paraId="18A9FFCD" w14:textId="77777777" w:rsidTr="000A5FE4">
        <w:trPr>
          <w:trHeight w:val="467"/>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887952"/>
              <w:bottom w:val="single" w:sz="4" w:space="0" w:color="887952"/>
            </w:tcBorders>
            <w:shd w:val="clear" w:color="auto" w:fill="FFFFFF"/>
          </w:tcPr>
          <w:p w14:paraId="329A5B35" w14:textId="77777777" w:rsidR="00CB1DBC" w:rsidRPr="008C3989" w:rsidRDefault="008C3989">
            <w:pPr>
              <w:rPr>
                <w:color w:val="0070C0"/>
                <w:sz w:val="24"/>
                <w:szCs w:val="24"/>
                <w:u w:val="single"/>
              </w:rPr>
            </w:pPr>
            <w:hyperlink r:id="rId22">
              <w:r w:rsidRPr="008C3989">
                <w:rPr>
                  <w:b w:val="0"/>
                  <w:color w:val="0070C0"/>
                  <w:sz w:val="24"/>
                  <w:szCs w:val="24"/>
                  <w:u w:val="single"/>
                </w:rPr>
                <w:t>Programs that Work</w:t>
              </w:r>
            </w:hyperlink>
          </w:p>
        </w:tc>
        <w:tc>
          <w:tcPr>
            <w:tcW w:w="6498" w:type="dxa"/>
            <w:tcBorders>
              <w:top w:val="single" w:sz="4" w:space="0" w:color="887952"/>
              <w:bottom w:val="single" w:sz="4" w:space="0" w:color="887952"/>
            </w:tcBorders>
            <w:shd w:val="clear" w:color="auto" w:fill="FFFFFF"/>
          </w:tcPr>
          <w:p w14:paraId="66A9BC4F" w14:textId="77777777" w:rsidR="00CB1DBC" w:rsidRDefault="008C3989">
            <w:pPr>
              <w:tabs>
                <w:tab w:val="left" w:pos="1536"/>
              </w:tabs>
              <w:cnfStyle w:val="000000000000" w:firstRow="0" w:lastRow="0" w:firstColumn="0" w:lastColumn="0" w:oddVBand="0" w:evenVBand="0" w:oddHBand="0" w:evenHBand="0" w:firstRowFirstColumn="0" w:firstRowLastColumn="0" w:lastRowFirstColumn="0" w:lastRowLastColumn="0"/>
              <w:rPr>
                <w:color w:val="262626"/>
                <w:sz w:val="24"/>
                <w:szCs w:val="24"/>
              </w:rPr>
            </w:pPr>
            <w:r>
              <w:rPr>
                <w:color w:val="262626"/>
                <w:sz w:val="24"/>
                <w:szCs w:val="24"/>
              </w:rPr>
              <w:t>From the Promising Practices Network (PPN), t</w:t>
            </w:r>
            <w:r>
              <w:rPr>
                <w:color w:val="333333"/>
                <w:sz w:val="24"/>
                <w:szCs w:val="24"/>
                <w:highlight w:val="white"/>
              </w:rPr>
              <w:t xml:space="preserve">his document contains the summaries of the Programs That Work section of the PPN website. </w:t>
            </w:r>
          </w:p>
        </w:tc>
      </w:tr>
      <w:tr w:rsidR="00CB1DBC" w14:paraId="4323D010" w14:textId="77777777" w:rsidTr="000A5FE4">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887952"/>
              <w:bottom w:val="single" w:sz="4" w:space="0" w:color="887952"/>
            </w:tcBorders>
            <w:shd w:val="clear" w:color="auto" w:fill="FFFFFF"/>
          </w:tcPr>
          <w:p w14:paraId="4CC71637" w14:textId="77777777" w:rsidR="00CB1DBC" w:rsidRPr="008C3989" w:rsidRDefault="008C3989">
            <w:pPr>
              <w:rPr>
                <w:color w:val="0070C0"/>
                <w:sz w:val="24"/>
                <w:szCs w:val="24"/>
                <w:u w:val="single"/>
              </w:rPr>
            </w:pPr>
            <w:hyperlink r:id="rId23">
              <w:r w:rsidRPr="008C3989">
                <w:rPr>
                  <w:b w:val="0"/>
                  <w:color w:val="0070C0"/>
                  <w:sz w:val="24"/>
                  <w:szCs w:val="24"/>
                  <w:u w:val="single"/>
                </w:rPr>
                <w:t>Evidenced-Based Practices Resource Center</w:t>
              </w:r>
            </w:hyperlink>
          </w:p>
        </w:tc>
        <w:tc>
          <w:tcPr>
            <w:tcW w:w="6498" w:type="dxa"/>
            <w:tcBorders>
              <w:top w:val="single" w:sz="4" w:space="0" w:color="887952"/>
              <w:bottom w:val="single" w:sz="4" w:space="0" w:color="887952"/>
            </w:tcBorders>
            <w:shd w:val="clear" w:color="auto" w:fill="FFFFFF"/>
          </w:tcPr>
          <w:p w14:paraId="0CAC2568" w14:textId="570484E7" w:rsidR="00CB1DBC" w:rsidRDefault="008C3989">
            <w:pPr>
              <w:tabs>
                <w:tab w:val="left" w:pos="1536"/>
              </w:tabs>
              <w:cnfStyle w:val="000000100000" w:firstRow="0" w:lastRow="0" w:firstColumn="0" w:lastColumn="0" w:oddVBand="0" w:evenVBand="0" w:oddHBand="1" w:evenHBand="0" w:firstRowFirstColumn="0" w:firstRowLastColumn="0" w:lastRowFirstColumn="0" w:lastRowLastColumn="0"/>
              <w:rPr>
                <w:color w:val="262626"/>
                <w:sz w:val="24"/>
                <w:szCs w:val="24"/>
              </w:rPr>
            </w:pPr>
            <w:r>
              <w:rPr>
                <w:color w:val="4A4A4A"/>
                <w:sz w:val="24"/>
                <w:szCs w:val="24"/>
                <w:highlight w:val="white"/>
              </w:rPr>
              <w:t xml:space="preserve">The Evidence-Based Practices Resource Center provides communities, clinicians, </w:t>
            </w:r>
            <w:proofErr w:type="gramStart"/>
            <w:r>
              <w:rPr>
                <w:color w:val="4A4A4A"/>
                <w:sz w:val="24"/>
                <w:szCs w:val="24"/>
                <w:highlight w:val="white"/>
              </w:rPr>
              <w:t>policy-makers</w:t>
            </w:r>
            <w:proofErr w:type="gramEnd"/>
            <w:r>
              <w:rPr>
                <w:color w:val="4A4A4A"/>
                <w:sz w:val="24"/>
                <w:szCs w:val="24"/>
                <w:highlight w:val="white"/>
              </w:rPr>
              <w:t xml:space="preserve">, and others with </w:t>
            </w:r>
            <w:r w:rsidRPr="008C3989">
              <w:rPr>
                <w:color w:val="761E28" w:themeColor="accent2" w:themeShade="BF"/>
                <w:sz w:val="24"/>
                <w:szCs w:val="24"/>
              </w:rPr>
              <w:t>the information and tools to incorporate evidence-based practices into their communities</w:t>
            </w:r>
            <w:r>
              <w:rPr>
                <w:color w:val="4A4A4A"/>
                <w:sz w:val="24"/>
                <w:szCs w:val="24"/>
                <w:highlight w:val="white"/>
              </w:rPr>
              <w:t xml:space="preserve"> or clinical settings. Filter by Target Audience for “Community Coalitions</w:t>
            </w:r>
            <w:r w:rsidR="00B90BCE">
              <w:rPr>
                <w:color w:val="4A4A4A"/>
                <w:sz w:val="24"/>
                <w:szCs w:val="24"/>
                <w:highlight w:val="white"/>
              </w:rPr>
              <w:t>.</w:t>
            </w:r>
            <w:r>
              <w:rPr>
                <w:color w:val="4A4A4A"/>
                <w:sz w:val="24"/>
                <w:szCs w:val="24"/>
                <w:highlight w:val="white"/>
              </w:rPr>
              <w:t>”</w:t>
            </w:r>
          </w:p>
        </w:tc>
      </w:tr>
    </w:tbl>
    <w:p w14:paraId="7284BCF5" w14:textId="77777777" w:rsidR="00CB1DBC" w:rsidRDefault="00CB1DBC">
      <w:pPr>
        <w:ind w:left="-630"/>
      </w:pPr>
    </w:p>
    <w:sectPr w:rsidR="00CB1DBC" w:rsidSect="002330F1">
      <w:footerReference w:type="default" r:id="rId24"/>
      <w:headerReference w:type="first" r:id="rId25"/>
      <w:footerReference w:type="first" r:id="rId2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1DF5" w14:textId="77777777" w:rsidR="00F91C89" w:rsidRDefault="00F91C89">
      <w:pPr>
        <w:spacing w:after="0" w:line="240" w:lineRule="auto"/>
      </w:pPr>
      <w:r>
        <w:separator/>
      </w:r>
    </w:p>
  </w:endnote>
  <w:endnote w:type="continuationSeparator" w:id="0">
    <w:p w14:paraId="1CC204D4" w14:textId="77777777" w:rsidR="00F91C89" w:rsidRDefault="00F9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entieth Century">
    <w:altName w:val="Calibri"/>
    <w:charset w:val="00"/>
    <w:family w:val="auto"/>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E39E" w14:textId="77777777" w:rsidR="00CB1DBC" w:rsidRDefault="008C3989">
    <w:pPr>
      <w:pBdr>
        <w:top w:val="nil"/>
        <w:left w:val="nil"/>
        <w:bottom w:val="nil"/>
        <w:right w:val="nil"/>
        <w:between w:val="nil"/>
      </w:pBdr>
      <w:tabs>
        <w:tab w:val="center" w:pos="4680"/>
        <w:tab w:val="right" w:pos="9360"/>
      </w:tabs>
      <w:spacing w:after="0" w:line="240" w:lineRule="auto"/>
      <w:jc w:val="right"/>
      <w:rPr>
        <w:rFonts w:ascii="Century Gothic" w:eastAsia="Century Gothic" w:hAnsi="Century Gothic" w:cs="Century Gothic"/>
        <w:color w:val="000000"/>
        <w:sz w:val="16"/>
        <w:szCs w:val="16"/>
      </w:rPr>
    </w:pPr>
    <w:r>
      <w:rPr>
        <w:rFonts w:ascii="Twentieth Century" w:eastAsia="Twentieth Century" w:hAnsi="Twentieth Century" w:cs="Twentieth Century"/>
        <w:color w:val="9F2936"/>
        <w:sz w:val="18"/>
        <w:szCs w:val="18"/>
      </w:rPr>
      <w:t>Salt Lake County Health Department promotes and protects community and environmental health</w:t>
    </w:r>
    <w:r>
      <w:rPr>
        <w:rFonts w:ascii="Century Gothic" w:eastAsia="Century Gothic" w:hAnsi="Century Gothic" w:cs="Century Gothic"/>
        <w:color w:val="000000"/>
        <w:sz w:val="16"/>
        <w:szCs w:val="16"/>
      </w:rPr>
      <w:t xml:space="preserve">                    Page | </w:t>
    </w:r>
    <w:r>
      <w:rPr>
        <w:rFonts w:ascii="Century Gothic" w:eastAsia="Century Gothic" w:hAnsi="Century Gothic" w:cs="Century Gothic"/>
        <w:color w:val="000000"/>
        <w:sz w:val="16"/>
        <w:szCs w:val="16"/>
      </w:rPr>
      <w:fldChar w:fldCharType="begin"/>
    </w:r>
    <w:r>
      <w:rPr>
        <w:rFonts w:ascii="Century Gothic" w:eastAsia="Century Gothic" w:hAnsi="Century Gothic" w:cs="Century Gothic"/>
        <w:color w:val="000000"/>
        <w:sz w:val="16"/>
        <w:szCs w:val="16"/>
      </w:rPr>
      <w:instrText>PAGE</w:instrText>
    </w:r>
    <w:r>
      <w:rPr>
        <w:rFonts w:ascii="Century Gothic" w:eastAsia="Century Gothic" w:hAnsi="Century Gothic" w:cs="Century Gothic"/>
        <w:color w:val="000000"/>
        <w:sz w:val="16"/>
        <w:szCs w:val="16"/>
      </w:rPr>
      <w:fldChar w:fldCharType="separate"/>
    </w:r>
    <w:r w:rsidR="0014771E">
      <w:rPr>
        <w:rFonts w:ascii="Century Gothic" w:eastAsia="Century Gothic" w:hAnsi="Century Gothic" w:cs="Century Gothic"/>
        <w:noProof/>
        <w:color w:val="000000"/>
        <w:sz w:val="16"/>
        <w:szCs w:val="16"/>
      </w:rPr>
      <w:t>2</w:t>
    </w:r>
    <w:r>
      <w:rPr>
        <w:rFonts w:ascii="Century Gothic" w:eastAsia="Century Gothic" w:hAnsi="Century Gothic" w:cs="Century Gothic"/>
        <w:color w:val="000000"/>
        <w:sz w:val="16"/>
        <w:szCs w:val="16"/>
      </w:rPr>
      <w:fldChar w:fldCharType="end"/>
    </w:r>
    <w:r>
      <w:rPr>
        <w:rFonts w:ascii="Century Gothic" w:eastAsia="Century Gothic" w:hAnsi="Century Gothic" w:cs="Century Gothic"/>
        <w:color w:val="000000"/>
        <w:sz w:val="16"/>
        <w:szCs w:val="16"/>
      </w:rPr>
      <w:t xml:space="preserve"> </w:t>
    </w:r>
  </w:p>
  <w:p w14:paraId="6340E4FC" w14:textId="77777777" w:rsidR="00CB1DBC" w:rsidRDefault="008C3989">
    <w:pPr>
      <w:pBdr>
        <w:top w:val="nil"/>
        <w:left w:val="nil"/>
        <w:bottom w:val="nil"/>
        <w:right w:val="nil"/>
        <w:between w:val="nil"/>
      </w:pBdr>
      <w:spacing w:after="0" w:line="288" w:lineRule="auto"/>
      <w:ind w:left="-720" w:right="-720"/>
      <w:jc w:val="center"/>
      <w:rPr>
        <w:rFonts w:ascii="Open Sans" w:eastAsia="Open Sans" w:hAnsi="Open Sans" w:cs="Open Sans"/>
        <w:color w:val="000000"/>
        <w:sz w:val="24"/>
        <w:szCs w:val="24"/>
      </w:rPr>
    </w:pPr>
    <w:r>
      <w:rPr>
        <w:rFonts w:ascii="Twentieth Century" w:eastAsia="Twentieth Century" w:hAnsi="Twentieth Century" w:cs="Twentieth Century"/>
        <w:b/>
        <w:color w:val="9F2936"/>
        <w:sz w:val="18"/>
        <w:szCs w:val="18"/>
      </w:rPr>
      <w:t>saltlakehealth.org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E639" w14:textId="77777777" w:rsidR="00CB1DBC" w:rsidRDefault="008C3989">
    <w:pPr>
      <w:pBdr>
        <w:top w:val="nil"/>
        <w:left w:val="nil"/>
        <w:bottom w:val="nil"/>
        <w:right w:val="nil"/>
        <w:between w:val="nil"/>
      </w:pBdr>
      <w:tabs>
        <w:tab w:val="center" w:pos="4680"/>
        <w:tab w:val="right" w:pos="9360"/>
      </w:tabs>
      <w:spacing w:after="0" w:line="240" w:lineRule="auto"/>
      <w:jc w:val="right"/>
      <w:rPr>
        <w:rFonts w:ascii="Century Gothic" w:eastAsia="Century Gothic" w:hAnsi="Century Gothic" w:cs="Century Gothic"/>
        <w:color w:val="000000"/>
        <w:sz w:val="16"/>
        <w:szCs w:val="16"/>
      </w:rPr>
    </w:pPr>
    <w:r>
      <w:rPr>
        <w:rFonts w:ascii="Twentieth Century" w:eastAsia="Twentieth Century" w:hAnsi="Twentieth Century" w:cs="Twentieth Century"/>
        <w:color w:val="9F2936"/>
        <w:sz w:val="18"/>
        <w:szCs w:val="18"/>
      </w:rPr>
      <w:t xml:space="preserve">Salt Lake County Health Department promotes and protects community and </w:t>
    </w:r>
    <w:r>
      <w:rPr>
        <w:rFonts w:ascii="Twentieth Century" w:eastAsia="Twentieth Century" w:hAnsi="Twentieth Century" w:cs="Twentieth Century"/>
        <w:color w:val="9F2936"/>
        <w:sz w:val="18"/>
        <w:szCs w:val="18"/>
      </w:rPr>
      <w:t>environmental health</w:t>
    </w:r>
    <w:r>
      <w:rPr>
        <w:rFonts w:ascii="Century Gothic" w:eastAsia="Century Gothic" w:hAnsi="Century Gothic" w:cs="Century Gothic"/>
        <w:color w:val="000000"/>
        <w:sz w:val="16"/>
        <w:szCs w:val="16"/>
      </w:rPr>
      <w:t xml:space="preserve">                                 Page | </w:t>
    </w:r>
    <w:r>
      <w:rPr>
        <w:rFonts w:ascii="Century Gothic" w:eastAsia="Century Gothic" w:hAnsi="Century Gothic" w:cs="Century Gothic"/>
        <w:color w:val="000000"/>
        <w:sz w:val="16"/>
        <w:szCs w:val="16"/>
      </w:rPr>
      <w:fldChar w:fldCharType="begin"/>
    </w:r>
    <w:r>
      <w:rPr>
        <w:rFonts w:ascii="Century Gothic" w:eastAsia="Century Gothic" w:hAnsi="Century Gothic" w:cs="Century Gothic"/>
        <w:color w:val="000000"/>
        <w:sz w:val="16"/>
        <w:szCs w:val="16"/>
      </w:rPr>
      <w:instrText>PAGE</w:instrText>
    </w:r>
    <w:r>
      <w:rPr>
        <w:rFonts w:ascii="Century Gothic" w:eastAsia="Century Gothic" w:hAnsi="Century Gothic" w:cs="Century Gothic"/>
        <w:color w:val="000000"/>
        <w:sz w:val="16"/>
        <w:szCs w:val="16"/>
      </w:rPr>
      <w:fldChar w:fldCharType="separate"/>
    </w:r>
    <w:r w:rsidR="0014771E">
      <w:rPr>
        <w:rFonts w:ascii="Century Gothic" w:eastAsia="Century Gothic" w:hAnsi="Century Gothic" w:cs="Century Gothic"/>
        <w:noProof/>
        <w:color w:val="000000"/>
        <w:sz w:val="16"/>
        <w:szCs w:val="16"/>
      </w:rPr>
      <w:t>1</w:t>
    </w:r>
    <w:r>
      <w:rPr>
        <w:rFonts w:ascii="Century Gothic" w:eastAsia="Century Gothic" w:hAnsi="Century Gothic" w:cs="Century Gothic"/>
        <w:color w:val="000000"/>
        <w:sz w:val="16"/>
        <w:szCs w:val="16"/>
      </w:rPr>
      <w:fldChar w:fldCharType="end"/>
    </w:r>
    <w:r>
      <w:rPr>
        <w:rFonts w:ascii="Century Gothic" w:eastAsia="Century Gothic" w:hAnsi="Century Gothic" w:cs="Century Gothic"/>
        <w:color w:val="000000"/>
        <w:sz w:val="16"/>
        <w:szCs w:val="16"/>
      </w:rPr>
      <w:t xml:space="preserve"> </w:t>
    </w:r>
  </w:p>
  <w:p w14:paraId="7716EBE0" w14:textId="77777777" w:rsidR="00CB1DBC" w:rsidRDefault="008C3989">
    <w:pPr>
      <w:pBdr>
        <w:top w:val="nil"/>
        <w:left w:val="nil"/>
        <w:bottom w:val="nil"/>
        <w:right w:val="nil"/>
        <w:between w:val="nil"/>
      </w:pBdr>
      <w:spacing w:after="0" w:line="288" w:lineRule="auto"/>
      <w:ind w:left="-720" w:right="-720"/>
      <w:jc w:val="center"/>
      <w:rPr>
        <w:rFonts w:ascii="Open Sans" w:eastAsia="Open Sans" w:hAnsi="Open Sans" w:cs="Open Sans"/>
        <w:color w:val="000000"/>
        <w:sz w:val="24"/>
        <w:szCs w:val="24"/>
      </w:rPr>
    </w:pPr>
    <w:r>
      <w:rPr>
        <w:rFonts w:ascii="Twentieth Century" w:eastAsia="Twentieth Century" w:hAnsi="Twentieth Century" w:cs="Twentieth Century"/>
        <w:b/>
        <w:color w:val="9F2936"/>
        <w:sz w:val="18"/>
        <w:szCs w:val="18"/>
      </w:rPr>
      <w:t>saltlakehealth.org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5E859" w14:textId="77777777" w:rsidR="00F91C89" w:rsidRDefault="00F91C89">
      <w:pPr>
        <w:spacing w:after="0" w:line="240" w:lineRule="auto"/>
      </w:pPr>
      <w:r>
        <w:separator/>
      </w:r>
    </w:p>
  </w:footnote>
  <w:footnote w:type="continuationSeparator" w:id="0">
    <w:p w14:paraId="7759517D" w14:textId="77777777" w:rsidR="00F91C89" w:rsidRDefault="00F91C89">
      <w:pPr>
        <w:spacing w:after="0" w:line="240" w:lineRule="auto"/>
      </w:pPr>
      <w:r>
        <w:continuationSeparator/>
      </w:r>
    </w:p>
  </w:footnote>
  <w:footnote w:id="1">
    <w:p w14:paraId="517278E0" w14:textId="77777777" w:rsidR="00DC19D8" w:rsidRDefault="00DC19D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Compiled and adapted from the following sources: CADCA Primer Series – Community Assessment; University of Kansas Center for Community Health and Development Community Toolbox; CADCA’s Beyond the Basics Series - The Coalition Impact: Environmental Prevention Strategies.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CE9D" w14:textId="77777777" w:rsidR="00CB1DBC" w:rsidRDefault="008C3989">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6AFC5628" wp14:editId="6D82310B">
          <wp:simplePos x="0" y="0"/>
          <wp:positionH relativeFrom="column">
            <wp:posOffset>66676</wp:posOffset>
          </wp:positionH>
          <wp:positionV relativeFrom="paragraph">
            <wp:posOffset>-238124</wp:posOffset>
          </wp:positionV>
          <wp:extent cx="836295" cy="285750"/>
          <wp:effectExtent l="0" t="0" r="0" b="0"/>
          <wp:wrapSquare wrapText="bothSides" distT="0" distB="0" distL="114300" distR="114300"/>
          <wp:docPr id="10"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836295" cy="2857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503DE"/>
    <w:multiLevelType w:val="multilevel"/>
    <w:tmpl w:val="3752BA30"/>
    <w:lvl w:ilvl="0">
      <w:start w:val="1"/>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25B05C3"/>
    <w:multiLevelType w:val="multilevel"/>
    <w:tmpl w:val="80328550"/>
    <w:lvl w:ilvl="0">
      <w:start w:val="1"/>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40B223A"/>
    <w:multiLevelType w:val="multilevel"/>
    <w:tmpl w:val="9F26E154"/>
    <w:lvl w:ilvl="0">
      <w:start w:val="1"/>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2645297">
    <w:abstractNumId w:val="0"/>
  </w:num>
  <w:num w:numId="2" w16cid:durableId="882793012">
    <w:abstractNumId w:val="2"/>
  </w:num>
  <w:num w:numId="3" w16cid:durableId="571233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BC"/>
    <w:rsid w:val="000230F0"/>
    <w:rsid w:val="00034DCD"/>
    <w:rsid w:val="000A5FE4"/>
    <w:rsid w:val="000A6017"/>
    <w:rsid w:val="0011201B"/>
    <w:rsid w:val="001466DF"/>
    <w:rsid w:val="0014771E"/>
    <w:rsid w:val="001610FF"/>
    <w:rsid w:val="00163648"/>
    <w:rsid w:val="00197398"/>
    <w:rsid w:val="0022375A"/>
    <w:rsid w:val="002330F1"/>
    <w:rsid w:val="0024554E"/>
    <w:rsid w:val="00257CA0"/>
    <w:rsid w:val="00284F42"/>
    <w:rsid w:val="002A2E6D"/>
    <w:rsid w:val="00335344"/>
    <w:rsid w:val="003A3C88"/>
    <w:rsid w:val="003A3F9C"/>
    <w:rsid w:val="004B6AEA"/>
    <w:rsid w:val="00533926"/>
    <w:rsid w:val="00536AD0"/>
    <w:rsid w:val="005412F8"/>
    <w:rsid w:val="00680ACE"/>
    <w:rsid w:val="006E6B1B"/>
    <w:rsid w:val="0070062D"/>
    <w:rsid w:val="00710C13"/>
    <w:rsid w:val="008122E9"/>
    <w:rsid w:val="008607F4"/>
    <w:rsid w:val="008657ED"/>
    <w:rsid w:val="008C3989"/>
    <w:rsid w:val="009600DC"/>
    <w:rsid w:val="00AF2378"/>
    <w:rsid w:val="00B56558"/>
    <w:rsid w:val="00B90BCE"/>
    <w:rsid w:val="00BF15CB"/>
    <w:rsid w:val="00C2324D"/>
    <w:rsid w:val="00C32C80"/>
    <w:rsid w:val="00C545F2"/>
    <w:rsid w:val="00CB1DBC"/>
    <w:rsid w:val="00CD3EA8"/>
    <w:rsid w:val="00DC19D8"/>
    <w:rsid w:val="00E4654E"/>
    <w:rsid w:val="00EB0D06"/>
    <w:rsid w:val="00ED7432"/>
    <w:rsid w:val="00F616CF"/>
    <w:rsid w:val="00F731F6"/>
    <w:rsid w:val="00F91C89"/>
    <w:rsid w:val="00FC2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04B6"/>
  <w15:docId w15:val="{F0A8A7F0-B725-4257-936F-B2C4D4E0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64F"/>
    <w:pPr>
      <w:keepNext/>
      <w:keepLines/>
      <w:spacing w:before="240" w:after="0"/>
      <w:outlineLvl w:val="0"/>
    </w:pPr>
    <w:rPr>
      <w:rFonts w:asciiTheme="majorHAnsi" w:eastAsiaTheme="majorEastAsia" w:hAnsiTheme="majorHAnsi" w:cstheme="majorBidi"/>
      <w:color w:val="B35E06" w:themeColor="accent1" w:themeShade="BF"/>
      <w:sz w:val="32"/>
      <w:szCs w:val="32"/>
    </w:rPr>
  </w:style>
  <w:style w:type="paragraph" w:styleId="Heading2">
    <w:name w:val="heading 2"/>
    <w:basedOn w:val="Normal"/>
    <w:next w:val="Normal"/>
    <w:link w:val="Heading2Char"/>
    <w:uiPriority w:val="9"/>
    <w:unhideWhenUsed/>
    <w:qFormat/>
    <w:rsid w:val="00AF664F"/>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Heading3">
    <w:name w:val="heading 3"/>
    <w:basedOn w:val="Normal"/>
    <w:next w:val="Normal"/>
    <w:link w:val="Heading3Char"/>
    <w:uiPriority w:val="9"/>
    <w:semiHidden/>
    <w:unhideWhenUsed/>
    <w:qFormat/>
    <w:rsid w:val="009C2381"/>
    <w:pPr>
      <w:keepNext/>
      <w:keepLines/>
      <w:spacing w:before="40" w:after="0"/>
      <w:outlineLvl w:val="2"/>
    </w:pPr>
    <w:rPr>
      <w:rFonts w:asciiTheme="majorHAnsi" w:eastAsiaTheme="majorEastAsia" w:hAnsiTheme="majorHAnsi" w:cstheme="majorBidi"/>
      <w:color w:val="773F04" w:themeColor="accent1" w:themeShade="7F"/>
      <w:sz w:val="24"/>
      <w:szCs w:val="24"/>
    </w:rPr>
  </w:style>
  <w:style w:type="paragraph" w:styleId="Heading4">
    <w:name w:val="heading 4"/>
    <w:basedOn w:val="Normal"/>
    <w:next w:val="Normal"/>
    <w:link w:val="Heading4Char"/>
    <w:uiPriority w:val="9"/>
    <w:semiHidden/>
    <w:unhideWhenUsed/>
    <w:qFormat/>
    <w:rsid w:val="006772A6"/>
    <w:pPr>
      <w:keepNext/>
      <w:keepLines/>
      <w:spacing w:before="40" w:after="0"/>
      <w:outlineLvl w:val="3"/>
    </w:pPr>
    <w:rPr>
      <w:rFonts w:asciiTheme="majorHAnsi" w:eastAsiaTheme="majorEastAsia" w:hAnsiTheme="majorHAnsi" w:cstheme="majorBidi"/>
      <w:i/>
      <w:iCs/>
      <w:color w:val="B35E0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C33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C33F27"/>
    <w:pPr>
      <w:spacing w:after="0" w:line="240" w:lineRule="auto"/>
    </w:p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ListTable6Colorful-Accent6">
    <w:name w:val="List Table 6 Colorful Accent 6"/>
    <w:basedOn w:val="TableNormal"/>
    <w:uiPriority w:val="51"/>
    <w:rsid w:val="00C33F27"/>
    <w:pPr>
      <w:spacing w:after="0" w:line="240" w:lineRule="auto"/>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character" w:styleId="Hyperlink">
    <w:name w:val="Hyperlink"/>
    <w:basedOn w:val="DefaultParagraphFont"/>
    <w:uiPriority w:val="99"/>
    <w:unhideWhenUsed/>
    <w:rsid w:val="001775B8"/>
    <w:rPr>
      <w:color w:val="6B9F25" w:themeColor="hyperlink"/>
      <w:u w:val="single"/>
    </w:rPr>
  </w:style>
  <w:style w:type="character" w:styleId="UnresolvedMention">
    <w:name w:val="Unresolved Mention"/>
    <w:basedOn w:val="DefaultParagraphFont"/>
    <w:uiPriority w:val="99"/>
    <w:semiHidden/>
    <w:unhideWhenUsed/>
    <w:rsid w:val="001775B8"/>
    <w:rPr>
      <w:color w:val="605E5C"/>
      <w:shd w:val="clear" w:color="auto" w:fill="E1DFDD"/>
    </w:rPr>
  </w:style>
  <w:style w:type="character" w:styleId="CommentReference">
    <w:name w:val="annotation reference"/>
    <w:basedOn w:val="DefaultParagraphFont"/>
    <w:uiPriority w:val="99"/>
    <w:semiHidden/>
    <w:unhideWhenUsed/>
    <w:rsid w:val="000C27CB"/>
    <w:rPr>
      <w:sz w:val="16"/>
      <w:szCs w:val="16"/>
    </w:rPr>
  </w:style>
  <w:style w:type="paragraph" w:styleId="CommentText">
    <w:name w:val="annotation text"/>
    <w:basedOn w:val="Normal"/>
    <w:link w:val="CommentTextChar"/>
    <w:uiPriority w:val="99"/>
    <w:unhideWhenUsed/>
    <w:rsid w:val="000C27CB"/>
    <w:pPr>
      <w:spacing w:line="240" w:lineRule="auto"/>
    </w:pPr>
    <w:rPr>
      <w:sz w:val="20"/>
      <w:szCs w:val="20"/>
    </w:rPr>
  </w:style>
  <w:style w:type="character" w:customStyle="1" w:styleId="CommentTextChar">
    <w:name w:val="Comment Text Char"/>
    <w:basedOn w:val="DefaultParagraphFont"/>
    <w:link w:val="CommentText"/>
    <w:uiPriority w:val="99"/>
    <w:rsid w:val="000C27CB"/>
    <w:rPr>
      <w:sz w:val="20"/>
      <w:szCs w:val="20"/>
    </w:rPr>
  </w:style>
  <w:style w:type="paragraph" w:styleId="CommentSubject">
    <w:name w:val="annotation subject"/>
    <w:basedOn w:val="CommentText"/>
    <w:next w:val="CommentText"/>
    <w:link w:val="CommentSubjectChar"/>
    <w:uiPriority w:val="99"/>
    <w:semiHidden/>
    <w:unhideWhenUsed/>
    <w:rsid w:val="000C27CB"/>
    <w:rPr>
      <w:b/>
      <w:bCs/>
    </w:rPr>
  </w:style>
  <w:style w:type="character" w:customStyle="1" w:styleId="CommentSubjectChar">
    <w:name w:val="Comment Subject Char"/>
    <w:basedOn w:val="CommentTextChar"/>
    <w:link w:val="CommentSubject"/>
    <w:uiPriority w:val="99"/>
    <w:semiHidden/>
    <w:rsid w:val="000C27CB"/>
    <w:rPr>
      <w:b/>
      <w:bCs/>
      <w:sz w:val="20"/>
      <w:szCs w:val="20"/>
    </w:rPr>
  </w:style>
  <w:style w:type="character" w:styleId="FollowedHyperlink">
    <w:name w:val="FollowedHyperlink"/>
    <w:basedOn w:val="DefaultParagraphFont"/>
    <w:uiPriority w:val="99"/>
    <w:semiHidden/>
    <w:unhideWhenUsed/>
    <w:rsid w:val="00CF423C"/>
    <w:rPr>
      <w:color w:val="B26B02" w:themeColor="followedHyperlink"/>
      <w:u w:val="single"/>
    </w:rPr>
  </w:style>
  <w:style w:type="paragraph" w:styleId="Header">
    <w:name w:val="header"/>
    <w:basedOn w:val="Normal"/>
    <w:link w:val="HeaderChar"/>
    <w:uiPriority w:val="99"/>
    <w:unhideWhenUsed/>
    <w:rsid w:val="007A6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AA6"/>
  </w:style>
  <w:style w:type="paragraph" w:styleId="Footer">
    <w:name w:val="footer"/>
    <w:basedOn w:val="Normal"/>
    <w:link w:val="FooterChar"/>
    <w:uiPriority w:val="99"/>
    <w:unhideWhenUsed/>
    <w:rsid w:val="007A6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AA6"/>
  </w:style>
  <w:style w:type="paragraph" w:customStyle="1" w:styleId="BasicParagraph">
    <w:name w:val="[Basic Paragraph]"/>
    <w:basedOn w:val="Normal"/>
    <w:uiPriority w:val="99"/>
    <w:rsid w:val="00500614"/>
    <w:pPr>
      <w:autoSpaceDE w:val="0"/>
      <w:autoSpaceDN w:val="0"/>
      <w:adjustRightInd w:val="0"/>
      <w:spacing w:after="0" w:line="288" w:lineRule="auto"/>
      <w:textAlignment w:val="center"/>
    </w:pPr>
    <w:rPr>
      <w:rFonts w:ascii="Myriad Pro" w:hAnsi="Myriad Pro" w:cs="Myriad Pro"/>
      <w:color w:val="000000"/>
      <w:sz w:val="24"/>
      <w:szCs w:val="24"/>
    </w:rPr>
  </w:style>
  <w:style w:type="character" w:customStyle="1" w:styleId="Heading1Char">
    <w:name w:val="Heading 1 Char"/>
    <w:basedOn w:val="DefaultParagraphFont"/>
    <w:link w:val="Heading1"/>
    <w:uiPriority w:val="9"/>
    <w:rsid w:val="00AF664F"/>
    <w:rPr>
      <w:rFonts w:asciiTheme="majorHAnsi" w:eastAsiaTheme="majorEastAsia" w:hAnsiTheme="majorHAnsi" w:cstheme="majorBidi"/>
      <w:color w:val="B35E06" w:themeColor="accent1" w:themeShade="BF"/>
      <w:sz w:val="32"/>
      <w:szCs w:val="32"/>
    </w:rPr>
  </w:style>
  <w:style w:type="character" w:customStyle="1" w:styleId="Heading2Char">
    <w:name w:val="Heading 2 Char"/>
    <w:basedOn w:val="DefaultParagraphFont"/>
    <w:link w:val="Heading2"/>
    <w:uiPriority w:val="9"/>
    <w:rsid w:val="00AF664F"/>
    <w:rPr>
      <w:rFonts w:asciiTheme="majorHAnsi" w:eastAsiaTheme="majorEastAsia" w:hAnsiTheme="majorHAnsi" w:cstheme="majorBidi"/>
      <w:color w:val="B35E06" w:themeColor="accent1" w:themeShade="BF"/>
      <w:sz w:val="26"/>
      <w:szCs w:val="26"/>
    </w:rPr>
  </w:style>
  <w:style w:type="paragraph" w:styleId="ListParagraph">
    <w:name w:val="List Paragraph"/>
    <w:basedOn w:val="Normal"/>
    <w:uiPriority w:val="34"/>
    <w:qFormat/>
    <w:rsid w:val="00AF664F"/>
    <w:pPr>
      <w:ind w:left="720"/>
      <w:contextualSpacing/>
    </w:pPr>
  </w:style>
  <w:style w:type="paragraph" w:styleId="FootnoteText">
    <w:name w:val="footnote text"/>
    <w:basedOn w:val="Normal"/>
    <w:link w:val="FootnoteTextChar"/>
    <w:uiPriority w:val="99"/>
    <w:semiHidden/>
    <w:unhideWhenUsed/>
    <w:rsid w:val="00AF66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64F"/>
    <w:rPr>
      <w:sz w:val="20"/>
      <w:szCs w:val="20"/>
    </w:rPr>
  </w:style>
  <w:style w:type="character" w:styleId="FootnoteReference">
    <w:name w:val="footnote reference"/>
    <w:basedOn w:val="DefaultParagraphFont"/>
    <w:uiPriority w:val="99"/>
    <w:semiHidden/>
    <w:unhideWhenUsed/>
    <w:rsid w:val="00AF664F"/>
    <w:rPr>
      <w:vertAlign w:val="superscript"/>
    </w:rPr>
  </w:style>
  <w:style w:type="character" w:styleId="Emphasis">
    <w:name w:val="Emphasis"/>
    <w:basedOn w:val="DefaultParagraphFont"/>
    <w:uiPriority w:val="20"/>
    <w:qFormat/>
    <w:rsid w:val="00AF664F"/>
    <w:rPr>
      <w:i/>
      <w:iCs/>
    </w:rPr>
  </w:style>
  <w:style w:type="character" w:customStyle="1" w:styleId="Heading3Char">
    <w:name w:val="Heading 3 Char"/>
    <w:basedOn w:val="DefaultParagraphFont"/>
    <w:link w:val="Heading3"/>
    <w:uiPriority w:val="9"/>
    <w:rsid w:val="009C2381"/>
    <w:rPr>
      <w:rFonts w:asciiTheme="majorHAnsi" w:eastAsiaTheme="majorEastAsia" w:hAnsiTheme="majorHAnsi" w:cstheme="majorBidi"/>
      <w:color w:val="773F04" w:themeColor="accent1" w:themeShade="7F"/>
      <w:sz w:val="24"/>
      <w:szCs w:val="24"/>
    </w:rPr>
  </w:style>
  <w:style w:type="paragraph" w:styleId="NormalWeb">
    <w:name w:val="Normal (Web)"/>
    <w:basedOn w:val="Normal"/>
    <w:uiPriority w:val="99"/>
    <w:semiHidden/>
    <w:unhideWhenUsed/>
    <w:rsid w:val="009C2381"/>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424636"/>
    <w:rPr>
      <w:i/>
      <w:iCs/>
      <w:color w:val="404040" w:themeColor="text1" w:themeTint="BF"/>
    </w:rPr>
  </w:style>
  <w:style w:type="character" w:styleId="Strong">
    <w:name w:val="Strong"/>
    <w:basedOn w:val="DefaultParagraphFont"/>
    <w:uiPriority w:val="22"/>
    <w:qFormat/>
    <w:rsid w:val="00D81B0A"/>
    <w:rPr>
      <w:b/>
      <w:bCs/>
    </w:rPr>
  </w:style>
  <w:style w:type="character" w:customStyle="1" w:styleId="Heading4Char">
    <w:name w:val="Heading 4 Char"/>
    <w:basedOn w:val="DefaultParagraphFont"/>
    <w:link w:val="Heading4"/>
    <w:uiPriority w:val="9"/>
    <w:semiHidden/>
    <w:rsid w:val="006772A6"/>
    <w:rPr>
      <w:rFonts w:asciiTheme="majorHAnsi" w:eastAsiaTheme="majorEastAsia" w:hAnsiTheme="majorHAnsi" w:cstheme="majorBidi"/>
      <w:i/>
      <w:iCs/>
      <w:color w:val="B35E06" w:themeColor="accent1" w:themeShade="BF"/>
    </w:rPr>
  </w:style>
  <w:style w:type="character" w:styleId="IntenseEmphasis">
    <w:name w:val="Intense Emphasis"/>
    <w:basedOn w:val="DefaultParagraphFont"/>
    <w:uiPriority w:val="21"/>
    <w:qFormat/>
    <w:rsid w:val="00EE5851"/>
    <w:rPr>
      <w:i/>
      <w:iCs/>
      <w:color w:val="F07F09" w:themeColor="accent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997339"/>
    </w:rPr>
    <w:tblPr>
      <w:tblStyleRowBandSize w:val="1"/>
      <w:tblStyleColBandSize w:val="1"/>
    </w:tblPr>
    <w:tblStylePr w:type="firstRow">
      <w:rPr>
        <w:b/>
      </w:rPr>
      <w:tblPr/>
      <w:tcPr>
        <w:tcBorders>
          <w:bottom w:val="single" w:sz="4" w:space="0" w:color="C19859"/>
        </w:tcBorders>
      </w:tcPr>
    </w:tblStylePr>
    <w:tblStylePr w:type="lastRow">
      <w:rPr>
        <w:b/>
      </w:rPr>
      <w:tblPr/>
      <w:tcPr>
        <w:tcBorders>
          <w:top w:val="single" w:sz="4" w:space="0" w:color="C19859"/>
        </w:tcBorders>
      </w:tcPr>
    </w:tblStylePr>
    <w:tblStylePr w:type="firstCol">
      <w:rPr>
        <w:b/>
      </w:rPr>
    </w:tblStylePr>
    <w:tblStylePr w:type="lastCol">
      <w:rPr>
        <w:b/>
      </w:rPr>
    </w:tblStylePr>
    <w:tblStylePr w:type="band1Vert">
      <w:tblPr/>
      <w:tcPr>
        <w:shd w:val="clear" w:color="auto" w:fill="F2EADD"/>
      </w:tcPr>
    </w:tblStylePr>
    <w:tblStylePr w:type="band1Horz">
      <w:tblPr/>
      <w:tcPr>
        <w:shd w:val="clear" w:color="auto" w:fill="F2EADD"/>
      </w:tcPr>
    </w:tblStylePr>
  </w:style>
  <w:style w:type="table" w:customStyle="1" w:styleId="a0">
    <w:basedOn w:val="TableNormal"/>
    <w:pPr>
      <w:spacing w:after="0" w:line="240" w:lineRule="auto"/>
    </w:pPr>
    <w:rPr>
      <w:color w:val="997339"/>
    </w:rPr>
    <w:tblPr>
      <w:tblStyleRowBandSize w:val="1"/>
      <w:tblStyleColBandSize w:val="1"/>
    </w:tblPr>
    <w:tblStylePr w:type="firstRow">
      <w:rPr>
        <w:b/>
      </w:rPr>
      <w:tblPr/>
      <w:tcPr>
        <w:tcBorders>
          <w:bottom w:val="single" w:sz="4" w:space="0" w:color="C19859"/>
        </w:tcBorders>
      </w:tcPr>
    </w:tblStylePr>
    <w:tblStylePr w:type="lastRow">
      <w:rPr>
        <w:b/>
      </w:rPr>
      <w:tblPr/>
      <w:tcPr>
        <w:tcBorders>
          <w:top w:val="single" w:sz="4" w:space="0" w:color="C19859"/>
        </w:tcBorders>
      </w:tcPr>
    </w:tblStylePr>
    <w:tblStylePr w:type="firstCol">
      <w:rPr>
        <w:b/>
      </w:rPr>
    </w:tblStylePr>
    <w:tblStylePr w:type="lastCol">
      <w:rPr>
        <w:b/>
      </w:rPr>
    </w:tblStylePr>
    <w:tblStylePr w:type="band1Vert">
      <w:tblPr/>
      <w:tcPr>
        <w:shd w:val="clear" w:color="auto" w:fill="F2EADD"/>
      </w:tcPr>
    </w:tblStylePr>
    <w:tblStylePr w:type="band1Horz">
      <w:tblPr/>
      <w:tcPr>
        <w:shd w:val="clear" w:color="auto" w:fill="F2EAD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tb.ku.edu/en/table-of-contents/implement/access-barriers-opportunities" TargetMode="External"/><Relationship Id="rId13" Type="http://schemas.openxmlformats.org/officeDocument/2006/relationships/hyperlink" Target="https://ctb.ku.edu/en/table-of-contents/implement/physical-social-environment" TargetMode="External"/><Relationship Id="rId18" Type="http://schemas.openxmlformats.org/officeDocument/2006/relationships/hyperlink" Target="https://www.hhs.gov/sites/default/files/disease-prevention-wellness-report.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tfah.org/report-details/a-compendium-of-proven-community-based-prevention-programs/" TargetMode="External"/><Relationship Id="rId7" Type="http://schemas.openxmlformats.org/officeDocument/2006/relationships/endnotes" Target="endnotes.xml"/><Relationship Id="rId12" Type="http://schemas.openxmlformats.org/officeDocument/2006/relationships/hyperlink" Target="https://ctb.ku.edu/en/table-of-contents/implement/changing-policies" TargetMode="External"/><Relationship Id="rId17" Type="http://schemas.openxmlformats.org/officeDocument/2006/relationships/hyperlink" Target="https://wayback.archive-it.org/5774/20220413175448/https:/www.healthypeople.gov/2020/tools-resources/Evidence-Based-Resourc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hecommunityguide.org/" TargetMode="External"/><Relationship Id="rId20" Type="http://schemas.openxmlformats.org/officeDocument/2006/relationships/hyperlink" Target="https://www.cdc.gov/health-topic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tb.ku.edu/en/table-of-contents/implement/enhancing-suppor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ewtrusts.org/en/research-and-analysis/data-visualizations/2015/results-first-clearinghouse-database" TargetMode="External"/><Relationship Id="rId23" Type="http://schemas.openxmlformats.org/officeDocument/2006/relationships/hyperlink" Target="https://www.samhsa.gov/resource-search/ebp" TargetMode="External"/><Relationship Id="rId28" Type="http://schemas.openxmlformats.org/officeDocument/2006/relationships/theme" Target="theme/theme1.xml"/><Relationship Id="rId10" Type="http://schemas.openxmlformats.org/officeDocument/2006/relationships/hyperlink" Target="https://ctb.ku.edu/en/table-of-contents/implement/provide-information-enhance-skills" TargetMode="External"/><Relationship Id="rId19" Type="http://schemas.openxmlformats.org/officeDocument/2006/relationships/hyperlink" Target="https://www.cdc.gov/psr/2013/index.html" TargetMode="External"/><Relationship Id="rId4" Type="http://schemas.openxmlformats.org/officeDocument/2006/relationships/settings" Target="settings.xml"/><Relationship Id="rId9" Type="http://schemas.openxmlformats.org/officeDocument/2006/relationships/hyperlink" Target="https://ctb.ku.edu/en/table-of-contents/implement/improving-services" TargetMode="External"/><Relationship Id="rId14" Type="http://schemas.openxmlformats.org/officeDocument/2006/relationships/hyperlink" Target="https://www.blueprintsprograms.org/" TargetMode="External"/><Relationship Id="rId22" Type="http://schemas.openxmlformats.org/officeDocument/2006/relationships/hyperlink" Target="https://www.rand.org/pubs/tools/TL145.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sxSZI1L041u108UHHRZqDuU13g==">CgMxLjA4AHIZaWQ6NXl5SEMxMWVMY0FBQUFBQUFBQlBtQQ==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2208</Words>
  <Characters>12592</Characters>
  <Application>Microsoft Office Word</Application>
  <DocSecurity>0</DocSecurity>
  <Lines>104</Lines>
  <Paragraphs>29</Paragraphs>
  <ScaleCrop>false</ScaleCrop>
  <Company>Salt Lake County</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Johnston</dc:creator>
  <cp:lastModifiedBy>Caroline Moreno</cp:lastModifiedBy>
  <cp:revision>47</cp:revision>
  <dcterms:created xsi:type="dcterms:W3CDTF">2023-12-12T18:10:00Z</dcterms:created>
  <dcterms:modified xsi:type="dcterms:W3CDTF">2024-01-12T19:31:00Z</dcterms:modified>
</cp:coreProperties>
</file>